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2025-KN-1578, 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mind. 66 % der ortsüblichen Vergleichsmiete gem. §21 Abs. 2 EStG)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Hausgeld / WEG-Kosten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Wird beim Verkäufer angefragt (inkl. Instandhaltungsrücklage)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Teilungserklärung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Wird beim Verkäufer angefragt</w:t>
            </w:r>
          </w:p>
        </w:tc>
      </w:tr>
    </w:tbl>
    <w:p/>
    <w:p>
      <w:r>
        <w:rPr>
          <w:b/>
          <w:color w:val="1A3C6E"/>
          <w:sz w:val="26"/>
        </w:rPr>
        <w:t>2.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3. Gesamtportfolio / 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100.000 €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Rennstr. 4a (Herford)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510.000 €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381.000 €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129.000 €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1.349.000 €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966.100 €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329.000 €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71,6 %</w:t>
      </w:r>
    </w:p>
    <w:p>
      <w:pPr>
        <w:jc w:val="center"/>
      </w:pPr>
      <w:r>
        <w:rPr>
          <w:color w:val="555555"/>
          <w:sz w:val="21"/>
        </w:rPr>
        <w:t>Unter der 80 %-Schwelle, konservatives Risikoprofil</w:t>
      </w:r>
    </w:p>
    <w:p/>
    <w:p>
      <w:r>
        <w:rPr>
          <w:b/>
          <w:color w:val="1A3C6E"/>
          <w:sz w:val="26"/>
        </w:rPr>
        <w:t>4.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nach Erwerb über 12 Jahre absetzbar (9 % p.a. für 8 Jahre, 7 % p.a. für 4 Jahre). Zusätzlich reguläre Gebäude-AfA auf den Kaufpreisanteil. Verbessert den Netto-Cashflow erheblich.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 Minimales Wertminderungsrisiko.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 Geringe Betriebskosten, zukunftssicher.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329.000 € freie Sicherheiten </w:t>
      </w:r>
      <w:r>
        <w:rPr>
          <w:sz w:val="21"/>
        </w:rPr>
        <w:t>im Bestandsportfolio als Zusatzsicherheit verfügbar</w:t>
      </w:r>
    </w:p>
    <w:p/>
    <w:p>
      <w:r>
        <w:rPr>
          <w:b/>
          <w:color w:val="1A3C6E"/>
          <w:sz w:val="26"/>
        </w:rPr>
        <w:t>5. Unser Vorschlag</w:t>
      </w:r>
    </w:p>
    <w:p>
      <w:r>
        <w:rPr>
          <w:sz w:val="21"/>
        </w:rPr>
        <w:t>Wir möchten die freien Grundschuldanteile unserer Bestandsobjekte (EFH in Bünde + MFH in Herford) als Zusatzsicherheit einbringen, um dieEigenkapitalanforderung von 111.000 € zu reduzieren. Der Gesamt-Beleihungsauslauf bleibt mit unter 72 % auf einem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