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A1A1A"/>
          <w:sz w:val="48"/>
        </w:rPr>
        <w:t>Viktor Andreas</w:t>
      </w:r>
    </w:p>
    <w:p>
      <w:pPr>
        <w:spacing w:after="80"/>
      </w:pPr>
      <w:r>
        <w:rPr>
          <w:color w:val="5A5A5A"/>
          <w:sz w:val="19"/>
        </w:rPr>
        <w:t>Zurich, Switzerland     viktor@salesteq.com     linkedin.com/in/viktorandreas</w:t>
      </w:r>
    </w:p>
    <w:p>
      <w:pPr>
        <w:spacing w:after="160"/>
      </w:pPr>
    </w:p>
    <w:p>
      <w:pPr>
        <w:spacing w:after="80"/>
      </w:pPr>
      <w:r>
        <w:rPr>
          <w:color w:val="5A5A5A"/>
          <w:sz w:val="20"/>
        </w:rPr>
        <w:t>Sales and technology leader with 15+ years in enterprise software, cloud platforms and AI. Built and sold products on Google Cloud (Vertex AI, Gemini, Cloud Run) to enterprise customers and start-ups. Managed teams of up to 60 people across Credit Suisse, Vontobel and two founded companies. Sold multi-million dollar SaaS and PaaS deals to banks, automotive OEMs, insurers and retail corporations globally. MSc in Machine Learning.</w:t>
      </w:r>
    </w:p>
    <w:p>
      <w:pPr>
        <w:spacing w:before="320" w:after="120"/>
      </w:pPr>
      <w:r>
        <w:rPr>
          <w:rFonts w:ascii="Calibri" w:hAnsi="Calibri"/>
          <w:b/>
          <w:color w:val="1B3A5C"/>
          <w:sz w:val="18"/>
        </w:rPr>
        <w:t>EXPERIENCE</w:t>
      </w:r>
    </w:p>
    <w:p>
      <w:pPr>
        <w:spacing w:after="160"/>
      </w:pPr>
      <w:r>
        <w:rPr>
          <w:color w:val="DDDDDD"/>
          <w:sz w:val="8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20"/>
      </w:pPr>
      <w:r>
        <w:rPr>
          <w:b/>
          <w:color w:val="1A1A1A"/>
          <w:sz w:val="22"/>
        </w:rPr>
        <w:t>CEO &amp; Co-Founder</w:t>
      </w:r>
    </w:p>
    <w:p>
      <w:pPr>
        <w:spacing w:after="80"/>
      </w:pPr>
      <w:r>
        <w:rPr>
          <w:color w:val="1A1A1A"/>
          <w:sz w:val="20"/>
        </w:rPr>
        <w:t>Salesteq (Elyon GmbH)</w:t>
      </w:r>
      <w:r>
        <w:rPr>
          <w:color w:val="999999"/>
          <w:sz w:val="18"/>
        </w:rPr>
        <w:t xml:space="preserve">    Zug, Switzerland    2023 — Present</w:t>
      </w:r>
    </w:p>
    <w:p>
      <w:pPr>
        <w:spacing w:after="80"/>
      </w:pPr>
      <w:r>
        <w:rPr>
          <w:i/>
          <w:color w:val="5A5A5A"/>
          <w:sz w:val="19"/>
        </w:rPr>
        <w:t>Built and sell an AI platform-as-a-service replacing dealership sales and service teams with autonomous agents. Voice, chat, WhatsApp — 12+ languages, 24/7. Entire stack on Google Cloud.</w:t>
      </w:r>
    </w:p>
    <w:p>
      <w:pPr>
        <w:spacing w:after="40"/>
        <w:ind w:left="216"/>
      </w:pPr>
      <w:r>
        <w:rPr>
          <w:color w:val="1A1A1A"/>
          <w:sz w:val="19"/>
        </w:rPr>
        <w:t>•  Defined and executed full go-to-market. Acquired BMW KSA, Naghi Group (250K cars/year, 6 brands), Allianz, Emaar and Suhner as paying customers</w:t>
      </w:r>
    </w:p>
    <w:p>
      <w:pPr>
        <w:spacing w:after="40"/>
        <w:ind w:left="216"/>
      </w:pPr>
      <w:r>
        <w:rPr>
          <w:color w:val="1A1A1A"/>
          <w:sz w:val="19"/>
        </w:rPr>
        <w:t>•  Closed enterprise deals through live technical PoCs — single demo to signed contract in under 30 days</w:t>
      </w:r>
    </w:p>
    <w:p>
      <w:pPr>
        <w:spacing w:after="40"/>
        <w:ind w:left="216"/>
      </w:pPr>
      <w:r>
        <w:rPr>
          <w:color w:val="1A1A1A"/>
          <w:sz w:val="19"/>
        </w:rPr>
        <w:t>•  Built and lead cross-functional team across engineering, AI research, sales and customer success in Switzerland and Saudi Arabia</w:t>
      </w:r>
    </w:p>
    <w:p>
      <w:pPr>
        <w:spacing w:after="40"/>
        <w:ind w:left="216"/>
      </w:pPr>
      <w:r>
        <w:rPr>
          <w:color w:val="1A1A1A"/>
          <w:sz w:val="19"/>
        </w:rPr>
        <w:t>•  Platform processes 4,000+ voice calls/month, 300 daily autonomous interactions, zero human handoff</w:t>
      </w:r>
    </w:p>
    <w:p>
      <w:pPr>
        <w:spacing w:after="40"/>
        <w:ind w:left="216"/>
      </w:pPr>
      <w:r>
        <w:rPr>
          <w:color w:val="1A1A1A"/>
          <w:sz w:val="19"/>
        </w:rPr>
        <w:t>•  Production on GCP: Vertex AI, Gemini models, Cloud Run, BigQuery. Voice pipeline at sub-400ms latency</w:t>
      </w:r>
    </w:p>
    <w:p>
      <w:pPr>
        <w:spacing w:after="40"/>
        <w:ind w:left="216"/>
      </w:pPr>
      <w:r>
        <w:rPr>
          <w:color w:val="1A1A1A"/>
          <w:sz w:val="19"/>
        </w:rPr>
        <w:t>•  NVIDIA Inception member. Working with Google for Startups team in Zurich</w:t>
      </w:r>
    </w:p>
    <w:p>
      <w:pPr>
        <w:spacing w:after="40"/>
        <w:ind w:left="216"/>
      </w:pPr>
      <w:r>
        <w:rPr>
          <w:color w:val="1A1A1A"/>
          <w:sz w:val="19"/>
        </w:rPr>
        <w:t>•  Assembled advisory board: ex-CFO Sitecore, ex-CRO EMEA SAP, ex-Managing Director BMW Middle East</w:t>
      </w:r>
    </w:p>
    <w:p>
      <w:pPr>
        <w:spacing w:before="200" w:after="20"/>
      </w:pPr>
      <w:r>
        <w:rPr>
          <w:b/>
          <w:color w:val="1A1A1A"/>
          <w:sz w:val="22"/>
        </w:rPr>
        <w:t>Commercial Lead &amp; ML Product</w:t>
      </w:r>
    </w:p>
    <w:p>
      <w:pPr>
        <w:spacing w:after="80"/>
      </w:pPr>
      <w:r>
        <w:rPr>
          <w:color w:val="1A1A1A"/>
          <w:sz w:val="20"/>
        </w:rPr>
        <w:t>Cobalt ELN</w:t>
      </w:r>
      <w:r>
        <w:rPr>
          <w:color w:val="999999"/>
          <w:sz w:val="18"/>
        </w:rPr>
        <w:t xml:space="preserve">    Basel / Open Source    December 2021 — January 2024</w:t>
      </w:r>
    </w:p>
    <w:p>
      <w:pPr>
        <w:spacing w:after="80"/>
      </w:pPr>
      <w:r>
        <w:rPr>
          <w:i/>
          <w:color w:val="5A5A5A"/>
          <w:sz w:val="19"/>
        </w:rPr>
        <w:t>Drove commercial adoption and ML tooling for an open-source electronic lab notebook. Partnership with University of Basel.</w:t>
      </w:r>
    </w:p>
    <w:p>
      <w:pPr>
        <w:spacing w:after="40"/>
        <w:ind w:left="216"/>
      </w:pPr>
      <w:r>
        <w:rPr>
          <w:color w:val="1A1A1A"/>
          <w:sz w:val="19"/>
        </w:rPr>
        <w:t>•  Sold and positioned the platform to research institutions and university labs</w:t>
      </w:r>
    </w:p>
    <w:p>
      <w:pPr>
        <w:spacing w:after="40"/>
        <w:ind w:left="216"/>
      </w:pPr>
      <w:r>
        <w:rPr>
          <w:color w:val="1A1A1A"/>
          <w:sz w:val="19"/>
        </w:rPr>
        <w:t>•  Worked with ML engineering team on Google model integration — classification, data extraction, experiment automation</w:t>
      </w:r>
    </w:p>
    <w:p>
      <w:pPr>
        <w:spacing w:after="40"/>
        <w:ind w:left="216"/>
      </w:pPr>
      <w:r>
        <w:rPr>
          <w:color w:val="1A1A1A"/>
          <w:sz w:val="19"/>
        </w:rPr>
        <w:t>•  Managed the open-source community on GitHub — contributor relations, roadmap input from researchers</w:t>
      </w:r>
    </w:p>
    <w:p>
      <w:pPr>
        <w:spacing w:after="40"/>
        <w:ind w:left="216"/>
      </w:pPr>
      <w:r>
        <w:rPr>
          <w:color w:val="1A1A1A"/>
          <w:sz w:val="19"/>
        </w:rPr>
        <w:t>•  Grew user community across pharmaceutical and life science research groups</w:t>
      </w:r>
    </w:p>
    <w:p>
      <w:pPr>
        <w:spacing w:before="200" w:after="20"/>
      </w:pPr>
      <w:r>
        <w:rPr>
          <w:b/>
          <w:color w:val="1A1A1A"/>
          <w:sz w:val="22"/>
        </w:rPr>
        <w:t>Co-Founder &amp; CRO</w:t>
      </w:r>
    </w:p>
    <w:p>
      <w:pPr>
        <w:spacing w:after="80"/>
      </w:pPr>
      <w:r>
        <w:rPr>
          <w:color w:val="1A1A1A"/>
          <w:sz w:val="20"/>
        </w:rPr>
        <w:t>Lykke Business AG</w:t>
      </w:r>
      <w:r>
        <w:rPr>
          <w:color w:val="999999"/>
          <w:sz w:val="18"/>
        </w:rPr>
        <w:t xml:space="preserve">    Zurich, Switzerland    November 2018 — July 2020</w:t>
      </w:r>
    </w:p>
    <w:p>
      <w:pPr>
        <w:spacing w:after="80"/>
      </w:pPr>
      <w:r>
        <w:rPr>
          <w:i/>
          <w:color w:val="5A5A5A"/>
          <w:sz w:val="19"/>
        </w:rPr>
        <w:t>Led global SaaS sales for an enterprise platform with data analytics and trading tools. Built and ran a quota-carrying team of 60.</w:t>
      </w:r>
    </w:p>
    <w:p>
      <w:pPr>
        <w:spacing w:after="40"/>
        <w:ind w:left="216"/>
      </w:pPr>
      <w:r>
        <w:rPr>
          <w:color w:val="1A1A1A"/>
          <w:sz w:val="19"/>
        </w:rPr>
        <w:t>•  Grew revenue from single-digit millions to eight figures, selling to banks, financial institutions and large retail corporations including Emaar</w:t>
      </w:r>
    </w:p>
    <w:p>
      <w:pPr>
        <w:spacing w:after="40"/>
        <w:ind w:left="216"/>
      </w:pPr>
      <w:r>
        <w:rPr>
          <w:color w:val="1A1A1A"/>
          <w:sz w:val="19"/>
        </w:rPr>
        <w:t>•  Built and managed a 60-person organization across sales, business development, product and operations</w:t>
      </w:r>
    </w:p>
    <w:p>
      <w:pPr>
        <w:spacing w:after="40"/>
        <w:ind w:left="216"/>
      </w:pPr>
      <w:r>
        <w:rPr>
          <w:color w:val="1A1A1A"/>
          <w:sz w:val="19"/>
        </w:rPr>
        <w:t>•  Closed multi-million USD platform deals across DACH, Middle East and Asia</w:t>
      </w:r>
    </w:p>
    <w:p>
      <w:pPr>
        <w:spacing w:after="40"/>
        <w:ind w:left="216"/>
      </w:pPr>
      <w:r>
        <w:rPr>
          <w:color w:val="1A1A1A"/>
          <w:sz w:val="19"/>
        </w:rPr>
        <w:t>•  Defined pricing, sales playbooks and channel partnerships for institutional SaaS distribution</w:t>
      </w:r>
    </w:p>
    <w:p>
      <w:pPr>
        <w:spacing w:before="200" w:after="20"/>
      </w:pPr>
      <w:r>
        <w:rPr>
          <w:b/>
          <w:color w:val="1A1A1A"/>
          <w:sz w:val="22"/>
        </w:rPr>
        <w:t>Product Manager — Wealth Platform</w:t>
      </w:r>
    </w:p>
    <w:p>
      <w:pPr>
        <w:spacing w:after="80"/>
      </w:pPr>
      <w:r>
        <w:rPr>
          <w:color w:val="1A1A1A"/>
          <w:sz w:val="20"/>
        </w:rPr>
        <w:t>Vontobel AG</w:t>
      </w:r>
      <w:r>
        <w:rPr>
          <w:color w:val="999999"/>
          <w:sz w:val="18"/>
        </w:rPr>
        <w:t xml:space="preserve">    Zurich, Switzerland    August 2017 — September 2018</w:t>
      </w:r>
    </w:p>
    <w:p>
      <w:pPr>
        <w:spacing w:after="80"/>
      </w:pPr>
      <w:r>
        <w:rPr>
          <w:i/>
          <w:color w:val="5A5A5A"/>
          <w:sz w:val="19"/>
        </w:rPr>
        <w:t>Owned the product and commercial side of one of Europe’s leading digital wealth applications. Hybrid role — half product, half enterprise sales.</w:t>
      </w:r>
    </w:p>
    <w:p>
      <w:pPr>
        <w:spacing w:after="40"/>
        <w:ind w:left="216"/>
      </w:pPr>
      <w:r>
        <w:rPr>
          <w:color w:val="1A1A1A"/>
          <w:sz w:val="19"/>
        </w:rPr>
        <w:t>•  Ran enterprise sales cycles end to end — from first call and technical scoping through to contract close with private banks</w:t>
      </w:r>
    </w:p>
    <w:p>
      <w:pPr>
        <w:spacing w:after="40"/>
        <w:ind w:left="216"/>
      </w:pPr>
      <w:r>
        <w:rPr>
          <w:color w:val="1A1A1A"/>
          <w:sz w:val="19"/>
        </w:rPr>
        <w:t>•  Grew platform adoption across private banking and institutional asset management clients in DACH</w:t>
      </w:r>
    </w:p>
    <w:p>
      <w:pPr>
        <w:spacing w:after="40"/>
        <w:ind w:left="216"/>
      </w:pPr>
      <w:r>
        <w:rPr>
          <w:color w:val="1A1A1A"/>
          <w:sz w:val="19"/>
        </w:rPr>
        <w:t>•  Sat between clients and engineering — turned what wealth managers actually needed into features that shipped</w:t>
      </w:r>
    </w:p>
    <w:p>
      <w:pPr>
        <w:spacing w:after="40"/>
        <w:ind w:left="216"/>
      </w:pPr>
      <w:r>
        <w:rPr>
          <w:color w:val="1A1A1A"/>
          <w:sz w:val="19"/>
        </w:rPr>
        <w:t>•  Navigated regulated environments: Swiss banking compliance, data sovereignty, legacy core banking integration</w:t>
      </w:r>
    </w:p>
    <w:p>
      <w:pPr>
        <w:spacing w:before="200" w:after="20"/>
      </w:pPr>
      <w:r>
        <w:rPr>
          <w:b/>
          <w:color w:val="1A1A1A"/>
          <w:sz w:val="22"/>
        </w:rPr>
        <w:t>Portfolio Application Lead</w:t>
      </w:r>
    </w:p>
    <w:p>
      <w:pPr>
        <w:spacing w:after="80"/>
      </w:pPr>
      <w:r>
        <w:rPr>
          <w:color w:val="1A1A1A"/>
          <w:sz w:val="20"/>
        </w:rPr>
        <w:t>Credit Suisse AG</w:t>
      </w:r>
      <w:r>
        <w:rPr>
          <w:color w:val="999999"/>
          <w:sz w:val="18"/>
        </w:rPr>
        <w:t xml:space="preserve">    Zurich, Switzerland    March 2013 — June 2017</w:t>
      </w:r>
    </w:p>
    <w:p>
      <w:pPr>
        <w:spacing w:after="80"/>
      </w:pPr>
      <w:r>
        <w:rPr>
          <w:i/>
          <w:color w:val="5A5A5A"/>
          <w:sz w:val="19"/>
        </w:rPr>
        <w:t>Ran a global-scale portfolio application with a team of 50.</w:t>
      </w:r>
    </w:p>
    <w:p>
      <w:pPr>
        <w:spacing w:after="40"/>
        <w:ind w:left="216"/>
      </w:pPr>
      <w:r>
        <w:rPr>
          <w:color w:val="1A1A1A"/>
          <w:sz w:val="19"/>
        </w:rPr>
        <w:t>•  Managed 50 people across development, operations and business analysis for a bank-wide portfolio platform</w:t>
      </w:r>
    </w:p>
    <w:p>
      <w:pPr>
        <w:spacing w:after="40"/>
        <w:ind w:left="216"/>
      </w:pPr>
      <w:r>
        <w:rPr>
          <w:color w:val="1A1A1A"/>
          <w:sz w:val="19"/>
        </w:rPr>
        <w:t>•  Owned the application on global scale — reliability, feature delivery and stakeholder management across front office, risk and operations</w:t>
      </w:r>
    </w:p>
    <w:p>
      <w:pPr>
        <w:spacing w:after="40"/>
        <w:ind w:left="216"/>
      </w:pPr>
      <w:r>
        <w:rPr>
          <w:color w:val="1A1A1A"/>
          <w:sz w:val="19"/>
        </w:rPr>
        <w:t>•  Coordinated cross-functional delivery across trading desks, risk management and compliance</w:t>
      </w:r>
    </w:p>
    <w:p>
      <w:pPr>
        <w:spacing w:after="40"/>
        <w:ind w:left="216"/>
      </w:pPr>
      <w:r>
        <w:rPr>
          <w:color w:val="1A1A1A"/>
          <w:sz w:val="19"/>
        </w:rPr>
        <w:t>•  High-availability environment serving thousands of internal users across multiple regions</w:t>
      </w:r>
    </w:p>
    <w:p>
      <w:pPr>
        <w:spacing w:before="320" w:after="120"/>
      </w:pPr>
      <w:r>
        <w:rPr>
          <w:rFonts w:ascii="Calibri" w:hAnsi="Calibri"/>
          <w:b/>
          <w:color w:val="1B3A5C"/>
          <w:sz w:val="18"/>
        </w:rPr>
        <w:t>EDUCATION</w:t>
      </w:r>
    </w:p>
    <w:p>
      <w:pPr>
        <w:spacing w:after="160"/>
      </w:pPr>
      <w:r>
        <w:rPr>
          <w:color w:val="DDDDDD"/>
          <w:sz w:val="8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80" w:after="20"/>
      </w:pPr>
      <w:r>
        <w:rPr>
          <w:b/>
          <w:color w:val="1A1A1A"/>
          <w:sz w:val="20"/>
        </w:rPr>
        <w:t>MSc, Software Engineering &amp; Machine Learning</w:t>
      </w:r>
    </w:p>
    <w:p>
      <w:pPr>
        <w:spacing w:after="160"/>
      </w:pPr>
      <w:r>
        <w:rPr>
          <w:color w:val="5A5A5A"/>
          <w:sz w:val="19"/>
        </w:rPr>
        <w:t>Hong Kong Polytechnic University     2012 — 2013     Grade: 1.5 (top 10%)</w:t>
      </w:r>
    </w:p>
    <w:p>
      <w:pPr>
        <w:spacing w:after="20"/>
      </w:pPr>
      <w:r>
        <w:rPr>
          <w:b/>
          <w:color w:val="1A1A1A"/>
          <w:sz w:val="20"/>
        </w:rPr>
        <w:t>BSc, Enterprise Information Systems</w:t>
      </w:r>
    </w:p>
    <w:p>
      <w:pPr>
        <w:spacing w:after="80"/>
      </w:pPr>
      <w:r>
        <w:rPr>
          <w:color w:val="5A5A5A"/>
          <w:sz w:val="19"/>
        </w:rPr>
        <w:t>University of Applied Sciences Konstanz, Germany     2010 — 2013     Grade: 1.5 (top 10%)</w:t>
      </w:r>
    </w:p>
    <w:p>
      <w:pPr>
        <w:spacing w:before="320" w:after="120"/>
      </w:pPr>
      <w:r>
        <w:rPr>
          <w:rFonts w:ascii="Calibri" w:hAnsi="Calibri"/>
          <w:b/>
          <w:color w:val="1B3A5C"/>
          <w:sz w:val="18"/>
        </w:rPr>
        <w:t>LANGUAGES</w:t>
      </w:r>
    </w:p>
    <w:p>
      <w:pPr>
        <w:spacing w:after="160"/>
      </w:pPr>
      <w:r>
        <w:rPr>
          <w:color w:val="DDDDDD"/>
          <w:sz w:val="8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color w:val="1A1A1A"/>
          <w:sz w:val="20"/>
        </w:rPr>
        <w:t>English (native)     Russian (native)     German (professional)</w:t>
      </w:r>
    </w:p>
    <w:sectPr w:rsidR="00FC693F" w:rsidRPr="0006063C" w:rsidSect="00034616">
      <w:pgSz w:w="12240" w:h="15840"/>
      <w:pgMar w:top="936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