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Research Idea #1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4B8F"/>
          <w:sz w:val="40"/>
          <w:szCs w:val="40"/>
        </w:rPr>
        <w:br/>
        <w:t xml:space="preserve">Dynamic Value-Based Stochastic Pricing for
Multi-Agent Diagnostic Pathways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Computational Orchestration of Healthcare Swarms</w:t>
      </w:r>
    </w:p>
    <w:p>
      <w:pPr>
        <w:spacing w:after="60"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Research Framework</w:t>
      </w:r>
    </w:p>
    <w:p>
      <w:pPr>
        <w:pBdr>
          <w:bottom w:val="single" w:color="2E4B8F" w:sz="6" w:space="1"/>
        </w:pBdr>
        <w:jc w:val="center"/>
      </w:pPr>
    </w:p>
    <w:p>
      <w:pPr>
        <w:spacing w:after="0" w:before="24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Pillars: Swarm Economics  |  Submodular Optimization  |  Patient Trajectory Analysis</w:t>
      </w:r>
    </w:p>
    <w:p>
      <w:pPr>
        <w:spacing w:after="1440" w:before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Dataset: MIMIC-IV v2.2  |  Framework: CMDP + Pheromone-Guided Routing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B8F"/>
          <w:sz w:val="32"/>
          <w:szCs w:val="32"/>
        </w:rPr>
        <w:t xml:space="preserve">1. Problem Statement — Deep Framing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core tension in this research area is between clinical urgency and compute economics. When a hospital deploys an LLM-based diagnostic swarm, a single query such as 'differentiate sepsis from SIRS in this 72-year-old with DM-II' can recursively fan out into a tree of agent-to-agent sub-calls — each spawning tool calls to lab APIs, knowledge graphs, and imaging retrievers. This creates an unbounded, stochastic cost surface that no fixed-price SaaS contract can handle.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problem contains three nested sub-problems, each requiring targeted solutions: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Sub-problem A — Cost Opacity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spend is determined at runtime, not at query submission. A 'simple' triage question may resolve in 300 tokens; a comorbidity case may consume 12,000. Standard per-token billing makes financial planning impossible for hospital CFOs. There is no mechanism to predict, bound, or invoice compute costs against a clinical budget cycle.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Sub-problem B — Clinical Utility Misalignment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token spend does not equal high diagnostic gain. An agent can produce long, elaborately reasoned outputs that are clinically equivalent to a much shorter chain. Without a utility signal — specifically, a measure of entropy reduction in the differential diagnosis — there is no mechanism to terminate wasteful reasoning.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Sub-problem C — Acuity Blindness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schedulers treat a routine screening request identically to a SOFA-score-9 sepsis workup. The latter justifies 40x the compute budget; the former does not. Without acuity-aware pricing, resources flow to whichever agent submits requests most frequently, not to the clinically highest-priority cases.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proposed solution is a Contextual Markov Decision Process (CMDP) that treats compute allocation as a sequential decision problem, pricing each reasoning step by its marginal reduction in diagnostic entropy, bounded by a per-episode budget derived from clinical acuity score.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B8F"/>
          <w:sz w:val="32"/>
          <w:szCs w:val="32"/>
        </w:rPr>
        <w:t xml:space="preserve">2. Foundational Papers to Read (Sequenced)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these papers in order — each one builds vocabulary and mathematical foundations for the next.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Wave 1 — Establishing the Economic Problem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Paper 1: Fahey (2025) — Agent Swarm Economics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"Agent Swarm Economics: Pricing Intelligence in a Multi-Agent World" (Medium, open access). This is the starting point for the entire research programme. Fahey introduces the concepts of 'token spend balloons,' per-task pricing, and the distinction between infrastructure cost and intelligence cost. His taxonomy of pricing tiers directly maps to the value-tier model to be implemented.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concepts: metered vs. outcome pricing, per-episode billing, token inflation in multi-agent calls.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URL: https://medium.com/@fahey_james/agent-swarm-economics-pricing-intelligence-in-a-multi-agent-world-457e528f32f8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Paper 2: PMC12996594 (2025) — Pricing Models for Diagnostic AI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"Pricing models for diagnostic AI based on qualitative insights from healthcare decision makers" (PubMed Central, open access). This is the empirical anchor for the stakeholder model. Hospital decision-makers interviewed consistently reject token-based pricing in favour of 'per-patient' or 'per-episode' units. 'Clinical legibility' is identified as the primary adoption barrier.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concepts: per-episode billing units, clinical legibility, stakeholder pricing frameworks.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URL: https://pmc.ncbi.nlm.nih.gov/articles/PMC12996594/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Wave 2 — Scheduling Mathematics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Paper 3: Ramos et al. (2023) — Stochastic MRCPSP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 Formulation for the Stochastic Multi-Mode Resource-Constrained Project Scheduling Problem" (MDPI Mathematics, open access). This is the mathematical backbone. The MRCPSP formulation directly maps: tasks = agent reasoning steps; resources = GPU-hours and API budget; stochastic durations = variable chain-of-thought lengths. The multi-mode concept (different agent scales = different modes) maps directly to the CMDP action space.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on: Sections 3 and 4 — MIP formulation and iterated local search metaheuristic.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URL: https://www.mdpi.com/2227-7390/11/2/337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Paper 4: Deng et al. (2025) — Information-Theoretic CMDPs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"Learning to Decide with Just Enough: Information-Theoretic Context Summarization for CMDPs" (arXiv, open access). Section 2 defines the CMDP state-space (S, A, P, R, gamma) with contextual variables — adopt this formulation directly. Section 4 introduces the 'approximate context sufficiency' criterion, which is repurposed as the stopping rule: stop allocating compute when marginal information gain falls below threshold.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on: Sections 2 and 4 — CMDP formulation and stopping criterion.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URL: https://arxiv.org/html/2510.01620v1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Wave 3 — Healthcare-Specific Grounding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Paper 5: Renc et al. (2024) — ETHOS Zero-Shot Trajectory Prediction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"Zero-Shot Health Trajectory Prediction Using Transformer (ETHOS)" (PMC, open access). Foundational for PHT construction. ETHOS introduces the Patient Health Timeline as a tokenised sequence over MIMIC-IV hosp and icu modules. The critical insight is that PHT token count is a proxy for clinical complexity — a longer PHT implies more comorbidities, more reasoning required, and a higher justified compute budget.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on: Supplementary materials — tokenisation scheme. Must replicate this for the PHT construction pipeline.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URL: https://pmc.ncbi.nlm.nih.gov/articles/PMC11412988/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Wave 4 — Routing and Reinforcement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Paper 6: AMRO-S (2025) — Ant Colony Optimization for LLM Routing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"Efficient and Interpretable Multi-Agent LLM Routing via Ant Colony Optimization" (arXiv, open access). Provides the pheromone-guided routing strategy. Section 3 defines the pheromone update rule and probabilistic selection function. Adapt Equation 4 (path selection probability) for inter-agent routing: successful high-confidence diagnoses reinforce paths; token-wasteful paths decay.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URL: https://arxiv.org/html/2603.12933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Paper 7: StarPO / RAGEN (2025) — Multi-Turn RL Stability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"RAGEN: Understanding Self-Evolution in LLM Agents via Multi-Turn Reinforcement Learning" (arXiv, open access). Addresses training instability in multi-turn RL. The 'instance filtering' and 'gradient shaping' techniques are directly applicable to stabilising CMDP training when the reward signal is sparse — as is typical in clinical episodes where verified diagnostic outcomes are not always available.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URL: https://arxiv.org/html/2504.20073v2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B8F"/>
          <w:sz w:val="32"/>
          <w:szCs w:val="32"/>
        </w:rPr>
        <w:t xml:space="preserve">3. Technical Blogs and Practitioner Resources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resources bridge the gap between theoretical formulations and practical implementation: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0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  <w:tc>
          <w:tcPr>
            <w:tcW w:type="dxa" w:w="20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Stochastic.ai Research Blog (2025)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Stochastic.ai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Test-time compute elasticity, FlexQuant edge quantisation, cost function calibration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https://stochastic.ai/research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Dynamo — Agentic 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Latency-sensitive scheduling, Radix cache eviction, latency_sensitivity parameter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https://docs.nvidia.com/dynamo/blog/agentic-inference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SubZeroCore Paper (2025)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Submodular coverage and density objectives; greedy selection under diminishing returns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https://arxiv.org/pdf/2509.21748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Awesome-Agent-Papers 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(luo-junyu)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Living index of multi-agent, scheduling, and healthcare AI preprints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https://github.com/luo-junyu/Awesome-Agent-Papers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B8F"/>
          <w:sz w:val="32"/>
          <w:szCs w:val="32"/>
        </w:rPr>
        <w:t xml:space="preserve">4. Data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Tier A — Primary Clinical Data (Open Access with Credentialing)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MIMIC-IV v2.2 dataset is the primary data source. Access requires completing a CITI training course (~4 hours) and signing a Data Use Agreement with PhysioNet. Access is free of charge.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Access: https://physionet.org/content/mimiciv/2.2/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 boundaries, acuity flags, length of stay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diagnoses_icd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ICD-10 codes for PHT construction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lab values for PHT token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Vitals stream — primary context for ICU agent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administration — treatment action sequences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sofa (derived)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Acuity score for budget ceiling allocation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discharge (notes)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hosp/notes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Unstructured clinical text for NLP processing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Tier B — Compute Cost Simulation Data (Open Access)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LMSYS Chatbot Arena dataset — Real human-LLM conversation logs with token counts per turn. Use to calibrate the stochastic distribution of token consumption for different query complexities. Download: lmsys/chatbot-arena-conversations on HuggingFace.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MultiAgentBench — Structured benchmarks for multi-agent coordination overhead. Use the task_routing and collaboration splits to estimate inter-agent token overhead per call.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Tier C — Data to Generate (Simulated, CPU-only)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are the critical contributions that require no GPU budget and can be executed on standard academic hardware: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PHT Corpus Construction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script using MIMIC-IV admissions, labevents, and diagnoses_icd tables to construct tokenised Patient Health Timelines following the ETHOS tokenisation scheme. Each patient episode becomes a sequence of discrete medical events: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[ADMIT, LAB:creatinine:1.8, MED:norepinephrine:0.1, CHART:HR:112, DIAG:sepsis, ...]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count per episode becomes the complexity proxy variable (tau_p). This pipeline is entirely CPU-bound and executable on a laptop.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Synthetic Request Streams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Sample from the LMSYS dataset to build a priority queue of simulated clinical requests, tagged with acuity levels drawn from the MIMIC-IV SOFA score distribution. This produces a realistic Poisson arrival process (~50 queries/hour for a large academic centre) without requiring a live swarm deployment.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Agent Trace Logs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 small local model (e.g. Qwen-2.5-7B via Ollama) to generate reasoning traces for 200-300 MIMIC-IV cases. Log token counts per reasoning step. These traces become ground truth for calibrating the stochastic duration model in the MRCPSP formulation.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Tool: ollama pull qwen2.5:7b &amp;&amp; ollama run qwen2.5:7b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B8F"/>
          <w:sz w:val="32"/>
          <w:szCs w:val="32"/>
        </w:rPr>
        <w:t xml:space="preserve">5. Research Approach — Step-by-Step Methodology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Phase 1 — Environment Construction (Weeks 1–4, CPU only)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 by building the simulation environment without any LLM calls. This phase is deliberately frugal in compute requirements.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Step 1.1 — PHT Construction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MIMIC-IV admissions and labevents tables, implement the ETHOS tokenisation pipeline. Each patient episode becomes a tokenised sequence. Token count serves as the clinical complexity proxy.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Step 1.2 — Acuity Stratification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Join the SOFA score (derivable from chartevents) to each episode. Bin patients into three tiers: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 acuity: SOFA 0-5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Medium acuity: SOFA 6-10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 acuity: SOFA 11+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tier, fit a Gamma distribution to the empirical token-count distribution using maximum likelihood estimation. This yields the stochastic duration model: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TTC ~ Gamma(alpha_tier, beta_tier)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Step 1.3 — Request Stream Simulation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Sample 10,000 synthetic clinical queries from the three acuity tiers using a Poisson arrival process. Each query is tagged with its acuity tier, budget ceiling B, and true complexity (tau_p).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Phase 2 — CMDP Formulation (Weeks 5–8)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the full Markov Decision Process formally. All components below follow the notation established in Deng et al. (2025):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State Space S = (H_t, B_t, a_t)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H_t = Shannon entropy of the differential diagnosis distribution at step 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B_t = remaining compute budget in normalised cost 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a_t = patient acuity tier {low, medium, high}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Action Space A = (d, 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 in {1, 2, 3, 4} = reasoning depth (chain-of-thought steps permitted)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 in {small, medium, large} = model scale invoked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Reward Function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R(s_t, a_t) = [H_t - H_{t+1}] - lambda * c(d, m) - mu * I[B_t &lt; 0]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Where: lambda is the cost-sensitivity hyperparameter (tuned per acuity tier), mu is a large penalty for budget violation, and [H_t - H_{t+1}] is the diagnostic uncertainty reduction.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6F"/>
          <w:sz w:val="22"/>
          <w:szCs w:val="22"/>
        </w:rPr>
        <w:t xml:space="preserve">Stopping Rule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Terminate compute allocation when H_{t+1} - H_t &lt; epsilon_stop for three consecutive steps, regardless of remaining budget. This prevents agent 'collusion' where swarm members generate elaborations without diagnostic gain.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Phase 3 — Pheromone-Guided Routing (Weeks 9–11)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the AMRO-S pheromone update rule across the agent-to-agent call graph: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tau_ij^(t+1) = (1 - rho) * tau_ij^(t) + Delta_tau_ij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Where rho is the evaporation rate in (0,1), and Delta_tau_ij = Q / cost_ij if the path contributed to correct diagnosis, else 0. Over 10,000 simulated episodes, the table converges to a routing policy preferring low-cost, high-accuracy paths per acuity tier.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Phase 4 — Value-Tier Pricing Model (Weeks 12–14)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Construct the three-tier pricing model based on acuity and PHT complexity: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700"/>
        <w:gridCol w:w="15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Ceiling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Scale</w:t>
            </w:r>
          </w:p>
        </w:tc>
        <w:tc>
          <w:tcPr>
            <w:tcW w:type="dxa" w:w="2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Unit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SOFA 0-5, tau_p &lt; 1000 tokens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Per-screening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SOFA 6-10, tau_p 1000-5000 tokens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Per-episode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SOFA 11+, any tau_p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Uncapped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Per-ICU-day</w:t>
            </w:r>
          </w:p>
        </w:tc>
      </w:tr>
    </w:tbl>
    <w:p>
      <w:pPr>
        <w:spacing w:after="80" w:before="160"/>
      </w:pP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each tier by back-calculating from the expected cost distribution fitted in Phase 1, adding a margin covering the 95th percentile of token spend (not the mean) to ensure financial sustainability.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Phase 5 — Evaluation (Weeks 15–16)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Evaluate the pricing policy against three baselines: (a) flat per-token pricing, (b) round-robin resource allocation, (c) random agent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adherence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episodes resolved within the allocated budget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entropy reduction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Delta_H per token spent — core efficiency signal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Jain Fairness Index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Fairness of resource allocation across acuity tiers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episode by tier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and 95th percentile spend per value tier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B8F"/>
          <w:sz w:val="32"/>
          <w:szCs w:val="32"/>
        </w:rPr>
        <w:t xml:space="preserve">6. Future Directions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Outcome-Linked Pricing Components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Retain a 10-15% 'hold-back' portion of each episode's price, releasing it only when the agent's diagnostic prediction is verified against the actual discharge diagnosis in MIMIC-IV. This aligns provider incentives with accuracy rather than throughput, converting the pricing model from a cost-centre metric to a value-based care instrument.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Federated Pricing Calibration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Gamma distribution parameters (alpha_tier, beta_tier) will vary systematically across hospital systems — a community hospital and a level-1 trauma centre will have different cost-complexity profiles. A federated protocol can allow institutions to share parameter estimates rather than patient data, converging on a global prior while preserving local variation. This extension connects directly to Research Idea #2 in the broader programme (Federated Submodular Selection for Privacy-Preserving Patient Trajectory Core-sets).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B8F"/>
          <w:sz w:val="26"/>
          <w:szCs w:val="26"/>
        </w:rPr>
        <w:t xml:space="preserve">Integration with Research Idea #3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CMDP pricing engine developed here becomes the budget controller for the Speculative Pattern-Driven Orchestration framework in Research Idea #3. The 'Slack Budget' parameter in PASTE directly consumes the remaining budget B_t computed by this CMDP.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B8F"/>
          <w:sz w:val="32"/>
          <w:szCs w:val="32"/>
        </w:rPr>
        <w:t xml:space="preserve">References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references are open-access. Access dates: March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00"/>
        <w:gridCol w:w="1660"/>
      </w:tblGrid>
      <w:tr>
        <w:trPr>
          <w:tblHeader/>
        </w:trPr>
        <w:tc>
          <w:tcPr>
            <w:tcW w:type="dxa" w:w="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7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Citation</w:t>
            </w:r>
          </w:p>
        </w:tc>
        <w:tc>
          <w:tcPr>
            <w:tcW w:type="dxa" w:w="16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[1]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Fahey, J. (2025). Agent Swarm Economics: Pricing Intelligence in a Multi-Agent World. Medium.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[2]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PMC12996594 (2025). Pricing models for diagnostic AI based on qualitative insights from healthcare decision makers. PMC.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[3]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Ramos et al. (2023). A Formulation for the Stochastic Multi-Mode RCPSP. MDPI Mathematics 11(2):337.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[4]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Deng et al. (2025). Learning to Decide with Just Enough: Information-Theoretic Context Summarization for CMDPs. arXiv:2510.01620.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[5]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Renc et al. (2024). Zero-Shot Health Trajectory Prediction Using Transformer. PMC11412988.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[6]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AMRO-S (2025). Efficient and Interpretable Multi-Agent LLM Routing via Ant Colony Optimization. arXiv:2603.12933.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[7]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RAGEN / StarPO (2025). Understanding Self-Evolution in LLM Agents via Multi-Turn RL. arXiv:2504.20073.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[8]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Johnson et al. (2023). MIMIC-IV v2.2. PhysioNet.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Credentialed 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[9]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(2025). Full-Stack Optimizations for Agentic Inference. NVIDIA Dynamo Docs.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[10]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SubZeroCore (2025). A Submodular Approach with Zero Training for Coreset Selection. arXiv:2509.21748.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0" w:before="20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Healthcare AI Research Programme  |  Research Idea #1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B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B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6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2026-03-29T11:56:31.518Z</dcterms:created>
  <dcterms:modified xsi:type="dcterms:W3CDTF">2026-03-29T11:56:31.519Z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