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DDB" w:rsidRPr="00241E20" w:rsidRDefault="00BB7DDB">
      <w:pPr>
        <w:rPr>
          <w:sz w:val="24"/>
          <w:szCs w:val="24"/>
        </w:rPr>
      </w:pPr>
      <w:r w:rsidRPr="00241E20">
        <w:rPr>
          <w:sz w:val="24"/>
          <w:szCs w:val="24"/>
        </w:rPr>
        <w:t>Our Relationship with the Environmental Protection Agency</w:t>
      </w:r>
    </w:p>
    <w:p w:rsidR="00BB7DDB" w:rsidRPr="00241E20" w:rsidRDefault="00241E20" w:rsidP="00BB7DDB">
      <w:pPr>
        <w:pStyle w:val="StylePastPerformanceBodyCustomColorRGB343434"/>
        <w:rPr>
          <w:rFonts w:asciiTheme="minorHAnsi" w:hAnsiTheme="minorHAnsi" w:cs="Times New Roman"/>
          <w:color w:val="auto"/>
          <w:sz w:val="24"/>
          <w:szCs w:val="24"/>
        </w:rPr>
      </w:pPr>
      <w:proofErr w:type="spellStart"/>
      <w:r>
        <w:rPr>
          <w:rFonts w:asciiTheme="minorHAnsi" w:hAnsiTheme="minorHAnsi" w:cs="Times New Roman"/>
          <w:color w:val="auto"/>
          <w:sz w:val="24"/>
          <w:szCs w:val="24"/>
        </w:rPr>
        <w:t>SalientCRGT</w:t>
      </w:r>
      <w:proofErr w:type="spellEnd"/>
      <w:r>
        <w:rPr>
          <w:rFonts w:asciiTheme="minorHAnsi" w:hAnsiTheme="minorHAnsi" w:cs="Times New Roman"/>
          <w:color w:val="auto"/>
          <w:sz w:val="24"/>
          <w:szCs w:val="24"/>
        </w:rPr>
        <w:t xml:space="preserve"> has a long history of providing innovative and comprehensive software solutions to a variety of offices within the Environmental Protection Agency.  </w:t>
      </w:r>
      <w:r w:rsidR="00BB7DDB" w:rsidRPr="00241E20">
        <w:rPr>
          <w:rFonts w:asciiTheme="minorHAnsi" w:hAnsiTheme="minorHAnsi" w:cs="Times New Roman"/>
          <w:color w:val="auto"/>
          <w:sz w:val="24"/>
          <w:szCs w:val="24"/>
        </w:rPr>
        <w:t xml:space="preserve">Our experience in managing a large BPA at the EPA has led to program offices working more closely together, collaborating with each other to leverage best practices and technical solutions across the agency.  </w:t>
      </w:r>
      <w:proofErr w:type="spellStart"/>
      <w:r w:rsidR="00BB7DDB" w:rsidRPr="00241E20">
        <w:rPr>
          <w:rFonts w:asciiTheme="minorHAnsi" w:hAnsiTheme="minorHAnsi" w:cs="Times New Roman"/>
          <w:color w:val="auto"/>
          <w:sz w:val="24"/>
          <w:szCs w:val="24"/>
        </w:rPr>
        <w:t>SalientCRGT’s</w:t>
      </w:r>
      <w:proofErr w:type="spellEnd"/>
      <w:r w:rsidR="00BB7DDB" w:rsidRPr="00241E20">
        <w:rPr>
          <w:rFonts w:asciiTheme="minorHAnsi" w:hAnsiTheme="minorHAnsi" w:cs="Times New Roman"/>
          <w:color w:val="auto"/>
          <w:sz w:val="24"/>
          <w:szCs w:val="24"/>
        </w:rPr>
        <w:t xml:space="preserve"> Oracle solutions have helped EPA in core mission areas such as widespread reduction of paper usage, faster and more efficient chemical studies, extensive emergency management collaboration and readiness, and higher-quality, more transparent insight into the agency’s data.  The following is a list of the biggest projects we have worked on at the EPA, and a </w:t>
      </w:r>
      <w:r>
        <w:rPr>
          <w:rFonts w:asciiTheme="minorHAnsi" w:hAnsiTheme="minorHAnsi" w:cs="Times New Roman"/>
          <w:color w:val="auto"/>
          <w:sz w:val="24"/>
          <w:szCs w:val="24"/>
        </w:rPr>
        <w:t>short description of the work we do</w:t>
      </w:r>
      <w:r w:rsidR="00BB7DDB" w:rsidRPr="00241E20">
        <w:rPr>
          <w:rFonts w:asciiTheme="minorHAnsi" w:hAnsiTheme="minorHAnsi" w:cs="Times New Roman"/>
          <w:color w:val="auto"/>
          <w:sz w:val="24"/>
          <w:szCs w:val="24"/>
        </w:rPr>
        <w:t>:</w:t>
      </w:r>
    </w:p>
    <w:p w:rsidR="00BB7DDB" w:rsidRPr="00241E20" w:rsidRDefault="00BB7DDB" w:rsidP="00BB7DDB">
      <w:pPr>
        <w:pStyle w:val="StylePastPerformanceBodyCustomColorRGB343434"/>
        <w:rPr>
          <w:rFonts w:asciiTheme="minorHAnsi" w:hAnsiTheme="minorHAnsi" w:cs="Times New Roman"/>
          <w:color w:val="auto"/>
          <w:sz w:val="24"/>
          <w:szCs w:val="24"/>
        </w:rPr>
      </w:pPr>
    </w:p>
    <w:p w:rsidR="00241E20" w:rsidRPr="00241E20" w:rsidRDefault="00241E20" w:rsidP="00241E20">
      <w:pPr>
        <w:rPr>
          <w:sz w:val="24"/>
          <w:szCs w:val="24"/>
        </w:rPr>
      </w:pPr>
      <w:r w:rsidRPr="00241E20">
        <w:rPr>
          <w:b/>
          <w:bCs/>
          <w:sz w:val="24"/>
          <w:szCs w:val="24"/>
        </w:rPr>
        <w:t>Office of Human Resources (OHR)</w:t>
      </w:r>
      <w:r w:rsidRPr="00241E20">
        <w:rPr>
          <w:sz w:val="24"/>
          <w:szCs w:val="24"/>
        </w:rPr>
        <w:t xml:space="preserve"> – We provid</w:t>
      </w:r>
      <w:r w:rsidRPr="00241E20">
        <w:rPr>
          <w:sz w:val="24"/>
          <w:szCs w:val="24"/>
        </w:rPr>
        <w:t>e</w:t>
      </w:r>
      <w:r w:rsidRPr="00241E20">
        <w:rPr>
          <w:sz w:val="24"/>
          <w:szCs w:val="24"/>
        </w:rPr>
        <w:t xml:space="preserve"> PMO support and </w:t>
      </w:r>
      <w:proofErr w:type="spellStart"/>
      <w:r w:rsidRPr="00241E20">
        <w:rPr>
          <w:sz w:val="24"/>
          <w:szCs w:val="24"/>
        </w:rPr>
        <w:t>Sharepoint</w:t>
      </w:r>
      <w:proofErr w:type="spellEnd"/>
      <w:r w:rsidRPr="00241E20">
        <w:rPr>
          <w:sz w:val="24"/>
          <w:szCs w:val="24"/>
        </w:rPr>
        <w:t xml:space="preserve"> development services</w:t>
      </w:r>
      <w:r w:rsidRPr="00241E20">
        <w:rPr>
          <w:sz w:val="24"/>
          <w:szCs w:val="24"/>
        </w:rPr>
        <w:t xml:space="preserve"> for this organization</w:t>
      </w:r>
      <w:r w:rsidRPr="00241E20">
        <w:rPr>
          <w:sz w:val="24"/>
          <w:szCs w:val="24"/>
        </w:rPr>
        <w:t xml:space="preserve">. </w:t>
      </w:r>
      <w:r w:rsidRPr="00241E20">
        <w:rPr>
          <w:sz w:val="24"/>
          <w:szCs w:val="24"/>
        </w:rPr>
        <w:t>We</w:t>
      </w:r>
      <w:r w:rsidRPr="00241E20">
        <w:rPr>
          <w:sz w:val="24"/>
          <w:szCs w:val="24"/>
        </w:rPr>
        <w:t xml:space="preserve"> follow </w:t>
      </w:r>
      <w:proofErr w:type="gramStart"/>
      <w:r w:rsidRPr="00241E20">
        <w:rPr>
          <w:sz w:val="24"/>
          <w:szCs w:val="24"/>
        </w:rPr>
        <w:t>Agile</w:t>
      </w:r>
      <w:proofErr w:type="gramEnd"/>
      <w:r w:rsidRPr="00241E20">
        <w:rPr>
          <w:sz w:val="24"/>
          <w:szCs w:val="24"/>
        </w:rPr>
        <w:t xml:space="preserve"> </w:t>
      </w:r>
      <w:r w:rsidRPr="00241E20">
        <w:rPr>
          <w:sz w:val="24"/>
          <w:szCs w:val="24"/>
        </w:rPr>
        <w:t xml:space="preserve">development methodologies </w:t>
      </w:r>
      <w:r w:rsidRPr="00241E20">
        <w:rPr>
          <w:sz w:val="24"/>
          <w:szCs w:val="24"/>
        </w:rPr>
        <w:t xml:space="preserve">and have been a trusted partner with OHR management for several years. </w:t>
      </w:r>
    </w:p>
    <w:p w:rsidR="00241E20" w:rsidRPr="00241E20" w:rsidRDefault="00241E20" w:rsidP="00241E20">
      <w:pPr>
        <w:rPr>
          <w:sz w:val="24"/>
          <w:szCs w:val="24"/>
        </w:rPr>
      </w:pPr>
      <w:r w:rsidRPr="00241E20">
        <w:rPr>
          <w:b/>
          <w:bCs/>
          <w:sz w:val="24"/>
          <w:szCs w:val="24"/>
        </w:rPr>
        <w:t>Office of Emergency Management (OEM)</w:t>
      </w:r>
      <w:r w:rsidRPr="00241E20">
        <w:rPr>
          <w:sz w:val="24"/>
          <w:szCs w:val="24"/>
        </w:rPr>
        <w:t xml:space="preserve"> – We provid</w:t>
      </w:r>
      <w:r w:rsidRPr="00241E20">
        <w:rPr>
          <w:sz w:val="24"/>
          <w:szCs w:val="24"/>
        </w:rPr>
        <w:t>e</w:t>
      </w:r>
      <w:r w:rsidRPr="00241E20">
        <w:rPr>
          <w:sz w:val="24"/>
          <w:szCs w:val="24"/>
        </w:rPr>
        <w:t xml:space="preserve"> application production support/sustainment for several OEM applications, covering functional areas such as field readiness, oil database, equipment management, and site/data management. We have developed these web apps and are currently partnering with OEM management to convert some high-priority apps to field-ready mobile applications. In addition, we have provided some Data Analytics capabilities on top of some of these applications. </w:t>
      </w:r>
    </w:p>
    <w:p w:rsidR="00241E20" w:rsidRPr="00241E20" w:rsidRDefault="00241E20" w:rsidP="00241E20">
      <w:pPr>
        <w:rPr>
          <w:sz w:val="24"/>
          <w:szCs w:val="24"/>
        </w:rPr>
      </w:pPr>
      <w:r w:rsidRPr="00241E20">
        <w:rPr>
          <w:b/>
          <w:bCs/>
          <w:sz w:val="24"/>
          <w:szCs w:val="24"/>
        </w:rPr>
        <w:t>O</w:t>
      </w:r>
      <w:r w:rsidRPr="00241E20">
        <w:rPr>
          <w:b/>
          <w:bCs/>
          <w:sz w:val="24"/>
          <w:szCs w:val="24"/>
        </w:rPr>
        <w:t>ffice of Chief Financial Officer (OCFO)</w:t>
      </w:r>
      <w:r w:rsidRPr="00241E20">
        <w:rPr>
          <w:sz w:val="24"/>
          <w:szCs w:val="24"/>
        </w:rPr>
        <w:t xml:space="preserve"> – We recently kicked off a project that assist</w:t>
      </w:r>
      <w:r w:rsidRPr="00241E20">
        <w:rPr>
          <w:sz w:val="24"/>
          <w:szCs w:val="24"/>
        </w:rPr>
        <w:t>s the OCFO</w:t>
      </w:r>
      <w:r w:rsidRPr="00241E20">
        <w:rPr>
          <w:sz w:val="24"/>
          <w:szCs w:val="24"/>
        </w:rPr>
        <w:t xml:space="preserve"> in requirements gathering and financial management strategy to accommodate a change to their financial system’s accounting code structure. We will lead the effort in defining the conversion and integration requirements as well as gauging the impact of the changes to the existing interfaces and external systems. </w:t>
      </w:r>
    </w:p>
    <w:p w:rsidR="00241E20" w:rsidRDefault="00241E20" w:rsidP="00241E20">
      <w:r>
        <w:rPr>
          <w:color w:val="1F497D"/>
        </w:rPr>
        <w:t> </w:t>
      </w:r>
      <w:bookmarkStart w:id="0" w:name="_GoBack"/>
      <w:bookmarkEnd w:id="0"/>
    </w:p>
    <w:sectPr w:rsidR="0024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DB"/>
    <w:rsid w:val="00241E20"/>
    <w:rsid w:val="009B6D69"/>
    <w:rsid w:val="00A97F95"/>
    <w:rsid w:val="00BB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7C86D-99F6-4D71-8CDE-AFB7E2CD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astPerformanceBodyCustomColorRGB343434">
    <w:name w:val="Style Past Performance Body + Custom Color(RGB(343434))"/>
    <w:basedOn w:val="Normal"/>
    <w:rsid w:val="00BB7DDB"/>
    <w:pPr>
      <w:widowControl w:val="0"/>
      <w:spacing w:before="60" w:after="60" w:line="240" w:lineRule="auto"/>
    </w:pPr>
    <w:rPr>
      <w:rFonts w:ascii="Arial Narrow" w:eastAsia="Times New Roman" w:hAnsi="Arial Narrow" w:cs="Arial"/>
      <w:color w:val="22222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Steiffer</dc:creator>
  <cp:keywords/>
  <dc:description/>
  <cp:lastModifiedBy>Christine Steiffer</cp:lastModifiedBy>
  <cp:revision>1</cp:revision>
  <dcterms:created xsi:type="dcterms:W3CDTF">2015-12-29T21:41:00Z</dcterms:created>
  <dcterms:modified xsi:type="dcterms:W3CDTF">2015-12-30T02:42:00Z</dcterms:modified>
</cp:coreProperties>
</file>