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after="120"/>
      </w:pPr>
      <w:r>
        <w:rPr>
          <w:b/>
          <w:sz w:val="32"/>
          <w:szCs w:val="32"/>
        </w:rPr>
        <w:t xml:space="preserve">EfficientNet-B3 50组正式实验结果对比</w:t>
      </w:r>
    </w:p>
    <w:p>
      <w:pPr>
        <w:spacing w:after="120"/>
      </w:pPr>
      <w:r>
        <w:rPr>
          <w:sz w:val="20"/>
          <w:szCs w:val="20"/>
        </w:rPr>
        <w:t xml:space="preserve">统计范围：10组单模型 + 10组三分类肿瘤级联 + 30组两两专家级联，共50组正式四分类结果；40组 expert_* 训练结果不纳入本文主表。</w:t>
      </w:r>
    </w:p>
    <w:p>
      <w:pPr>
        <w:spacing w:after="120"/>
      </w:pPr>
      <w:r>
        <w:rPr>
          <w:b/>
          <w:sz w:val="26"/>
          <w:szCs w:val="26"/>
        </w:rPr>
        <w:t xml:space="preserve">一、核心结论</w:t>
      </w:r>
    </w:p>
    <w:p>
      <w:pPr>
        <w:spacing w:after="120"/>
      </w:pPr>
      <w:r>
        <w:rPr>
          <w:sz w:val="20"/>
          <w:szCs w:val="20"/>
        </w:rPr>
        <w:t xml:space="preserve">1. 全局最佳实验为 cascade_pair_ad_sq_v2.4_pretrained_ce_ls_cosine_weightedce_b3，测试准确率 93.97%，Macro F1 = 0.9380。</w:t>
      </w:r>
    </w:p>
    <w:p>
      <w:pPr>
        <w:spacing w:after="120"/>
      </w:pPr>
      <w:r>
        <w:rPr>
          <w:sz w:val="20"/>
          <w:szCs w:val="20"/>
        </w:rPr>
        <w:t xml:space="preserve">2. 最佳单模型为 v2.4_pretrained_ce_ls_cosine_weightedce_b3；最佳三分类级联为 cascade_v3.0_pretrained_focal_ls_cosine_b3；最佳两两级联为 cascade_pair_ad_sq_v2.4_pretrained_ce_ls_cosine_weightedce_b3。</w:t>
      </w:r>
    </w:p>
    <w:p>
      <w:pPr>
        <w:spacing w:after="120"/>
      </w:pPr>
      <w:r>
        <w:rPr>
          <w:sz w:val="20"/>
          <w:szCs w:val="20"/>
        </w:rPr>
        <w:t xml:space="preserve">3. 分组平均表现为：单模型 89.94% / 0.9065，三分类级联 90.70% / 0.9128，两两级联 90.12% / 0.9081。</w:t>
      </w:r>
    </w:p>
    <w:p>
      <w:pPr>
        <w:spacing w:after="120"/>
      </w:pPr>
      <w:r>
        <w:rPr>
          <w:sz w:val="20"/>
          <w:szCs w:val="20"/>
        </w:rPr>
        <w:t xml:space="preserve">4. 在10个主线家族中，三分类级联有 6/10 个家族优于对应单模型；每个家族中的最佳两两级联有 8/10 个家族优于对应单模型。</w:t>
      </w:r>
    </w:p>
    <w:p>
      <w:pPr>
        <w:spacing w:after="120"/>
      </w:pPr>
      <w:r>
        <w:rPr>
          <w:sz w:val="20"/>
          <w:szCs w:val="20"/>
        </w:rPr>
        <w:t xml:space="preserve">5. 三类两两专家对中，平均测试准确率最高的是“腺癌 vs 鳞癌”，平均值为 90.25%。</w:t>
      </w:r>
    </w:p>
    <w:p>
      <w:pPr>
        <w:spacing w:after="120"/>
      </w:pPr>
      <w:r>
        <w:rPr>
          <w:b/>
          <w:sz w:val="26"/>
          <w:szCs w:val="26"/>
        </w:rPr>
        <w:t xml:space="preserve">二、Top 10 总排名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700"/>
        <w:gridCol w:w="4300"/>
        <w:gridCol w:w="1800"/>
        <w:gridCol w:w="1300"/>
        <w:gridCol w:w="1300"/>
        <w:gridCol w:w="1100"/>
      </w:tblGrid>
      <w:tr>
        <w:tc>
          <w:tcPr>
            <w:tcW w:w="7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排名</w:t>
            </w:r>
          </w:p>
        </w:tc>
        <w:tc>
          <w:tcPr>
            <w:tcW w:w="4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0.9380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0.9356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单模型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0.9356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93.33%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0.9320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三分类肿瘤级联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0.9344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三分类肿瘤级联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0.9303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cascade_pair_lc_sq_v3.0_pretrained_focal_ls_cosine_b3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0.9319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cascade_pair_ad_lc_v3.0_pretrained_focal_ls_cosine_b3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0.9314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cascade_pair_ad_sq_v3.3_pretrained_focal_ls_cosine_se_b3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0.9295</w:t>
            </w:r>
          </w:p>
        </w:tc>
      </w:tr>
      <w:tr>
        <w:tc>
          <w:tcPr>
            <w:tcW w:w="7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4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cascade_v3.3_pretrained_focal_ls_cosine_se_b3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三分类肿瘤级联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92.38%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0.9283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三、10组单模型结果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200"/>
        <w:gridCol w:w="1300"/>
        <w:gridCol w:w="1300"/>
        <w:gridCol w:w="1100"/>
        <w:gridCol w:w="1200"/>
        <w:gridCol w:w="1000"/>
      </w:tblGrid>
      <w:tr>
        <w:tc>
          <w:tcPr>
            <w:tcW w:w="4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3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Weighted F1</w:t>
            </w:r>
          </w:p>
        </w:tc>
        <w:tc>
          <w:tcPr>
            <w:tcW w:w="10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Best Epoch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0.9237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0.9140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0.8938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0.8821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22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95.83%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0.9247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0.9176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0.8985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0.9356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0.9362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18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0.9249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0.9209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6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0.8952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0.8957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21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80.00%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0.8196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0.7905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0.9247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0.9210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19</w:t>
            </w:r>
          </w:p>
        </w:tc>
      </w:tr>
      <w:tr>
        <w:tc>
          <w:tcPr>
            <w:tcW w:w="4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v3.4_pretrained_focal_ls_cosine_cbam_b3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3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0.9174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0.9111</w:t>
            </w:r>
          </w:p>
        </w:tc>
        <w:tc>
          <w:tcPr>
            <w:tcW w:w="10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四、10组三分类肿瘤级联结果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100"/>
        <w:gridCol w:w="1200"/>
        <w:gridCol w:w="1200"/>
        <w:gridCol w:w="1100"/>
        <w:gridCol w:w="1100"/>
        <w:gridCol w:w="1200"/>
      </w:tblGrid>
      <w:tr>
        <w:tc>
          <w:tcPr>
            <w:tcW w:w="4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专家调用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纠正/伤害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cascade_v2.0_pretrained_ce_b3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0.9169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1/3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cascade_v2.1_pretrained_ce_cosine_b3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0.9025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cascade_v2.2_pretrained_ce_ls_b3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95.83%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0.9091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2/6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cascade_v2.3_pretrained_ce_ls_cosine_b3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0.9060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cascade_v2.4_pretrained_ce_ls_cosine_weightedce_b3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0.9303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3/5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0.9344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cascade_v3.1_pretrained_focal_ls_cosine_mixup_b3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90.16%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0.9054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85.71%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0.8684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53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19/1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cascade_v3.3_pretrained_focal_ls_cosine_se_b3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92.38%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0.9283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cascade_v3.4_pretrained_focal_ls_cosine_cbam_b3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0.9265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4/1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五、30组两两专家级联结果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4100"/>
        <w:gridCol w:w="1800"/>
        <w:gridCol w:w="1200"/>
        <w:gridCol w:w="1200"/>
        <w:gridCol w:w="1100"/>
        <w:gridCol w:w="1200"/>
      </w:tblGrid>
      <w:tr>
        <w:tc>
          <w:tcPr>
            <w:tcW w:w="4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实验名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专家对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验证准确率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测试准确率</w:t>
            </w:r>
          </w:p>
        </w:tc>
        <w:tc>
          <w:tcPr>
            <w:tcW w:w="11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Macro F1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纠正/伤害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cascade_pair_lc_sq_v2.0_pretrained_ce_b3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0.9227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cascade_pair_ad_lc_v2.0_pretrained_ce_b3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0.9237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cascade_pair_ad_sq_v2.0_pretrained_ce_b3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0.9238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cascade_pair_lc_sq_v2.1_pretrained_ce_cosine_b3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0.8972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cascade_pair_ad_lc_v2.1_pretrained_ce_cosine_b3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0.8935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cascade_pair_ad_sq_v2.1_pretrained_ce_cosine_b3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88.57%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0.8963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cascade_pair_lc_sq_v2.2_pretrained_ce_ls_b3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95.83%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0.9265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cascade_pair_ad_lc_v2.2_pretrained_ce_ls_b3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0.9244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cascade_pair_ad_sq_v2.2_pretrained_ce_ls_b3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95.83%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0.9198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cascade_pair_lc_sq_v2.3_pretrained_ce_ls_cosine_b3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90.16%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0.9088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cascade_pair_ad_lc_v2.3_pretrained_ce_ls_cosine_b3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cascade_pair_ad_sq_v2.3_pretrained_ce_ls_cosine_b3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0.9056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93.33%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0.9320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0.9356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cascade_pair_ad_sq_v2.4_pretrained_ce_ls_cosine_weightedce_b3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90.28%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0.9380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cascade_pair_lc_sq_v3.0_pretrained_focal_ls_cosine_b3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0.9319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3/1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cascade_pair_ad_lc_v3.0_pretrained_focal_ls_cosine_b3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91.67%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0.9314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cascade_pair_ad_sq_v3.0_pretrained_focal_ls_cosine_b3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0.9249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cascade_pair_lc_sq_v3.1_pretrained_focal_ls_cosine_mixup_b3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0.8985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cascade_pair_ad_lc_v3.1_pretrained_focal_ls_cosine_mixup_b3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0.8980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cascade_pair_ad_sq_v3.1_pretrained_focal_ls_cosine_mixup_b3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0.8926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cascade_pair_lc_sq_v3.2_pretrained_focal_ls_cosine_cutmix_b3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80.00%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0.8188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cascade_pair_ad_lc_v3.2_pretrained_focal_ls_cosine_cutmix_b3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93.06%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80.00%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0.8194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cascade_pair_ad_sq_v3.2_pretrained_focal_ls_cosine_cutmix_b3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94.44%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83.17%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0.8459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12/2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cascade_pair_lc_sq_v3.3_pretrained_focal_ls_cosine_se_b3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0.9211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0/1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cascade_pair_ad_lc_v3.3_pretrained_focal_ls_cosine_se_b3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0.9247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cascade_pair_ad_sq_v3.3_pretrained_focal_ls_cosine_se_b3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92.70%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0.9295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2/0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cascade_pair_lc_sq_v3.4_pretrained_focal_ls_cosine_cbam_b3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0.9174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cascade_pair_ad_lc_v3.4_pretrained_focal_ls_cosine_cbam_b3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88.89%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0.9211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1/0</w:t>
            </w:r>
          </w:p>
        </w:tc>
      </w:tr>
      <w:tr>
        <w:tc>
          <w:tcPr>
            <w:tcW w:w="4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cascade_pair_ad_sq_v3.4_pretrained_focal_ls_cosine_cbam_b3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87.50%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11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0.9153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1/2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sz w:val="26"/>
          <w:szCs w:val="26"/>
        </w:rPr>
        <w:t xml:space="preserve">六、按主线版本的家族对照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3200"/>
        <w:gridCol w:w="1200"/>
        <w:gridCol w:w="1400"/>
        <w:gridCol w:w="2200"/>
        <w:gridCol w:w="3600"/>
      </w:tblGrid>
      <w:tr>
        <w:tc>
          <w:tcPr>
            <w:tcW w:w="3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主线版本</w:t>
            </w:r>
          </w:p>
        </w:tc>
        <w:tc>
          <w:tcPr>
            <w:tcW w:w="1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单模型</w:t>
            </w:r>
          </w:p>
        </w:tc>
        <w:tc>
          <w:tcPr>
            <w:tcW w:w="14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三分类级联</w:t>
            </w:r>
          </w:p>
        </w:tc>
        <w:tc>
          <w:tcPr>
            <w:tcW w:w="22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最佳两两级联</w:t>
            </w:r>
          </w:p>
        </w:tc>
        <w:tc>
          <w:tcPr>
            <w:tcW w:w="36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家族最佳结论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v2.0_pretrained_ce_b3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91.43%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90.79%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91.43%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cascade_pair_ad_sq_v2.0_pretrained_ce_b3（两两专家级联）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v2.1_pretrained_ce_cosine_b3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88.25%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89.52%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88.57%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cascade_v2.1_pretrained_ce_cosine_b3（三分类肿瘤级联）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v2.2_pretrained_ce_ls_b3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91.75%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90.48%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91.75%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cascade_pair_lc_sq_v2.2_pretrained_ce_ls_b3（两两专家级联）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v2.3_pretrained_ce_ls_cosine_b3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89.84%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90.16%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cascade_pair_lc_sq_v2.3_pretrained_ce_ls_cosine_b3（两两专家级联）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v2.4_pretrained_ce_ls_cosine_weightedce_b3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93.97%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cascade_pair_ad_sq_v2.4_pretrained_ce_ls_cosine_weightedce_b3（两两专家级联）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v3.0_pretrained_focal_ls_cosine_b3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93.02%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92.70%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cascade_v3.0_pretrained_focal_ls_cosine_b3（三分类肿瘤级联）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v3.1_pretrained_focal_ls_cosine_mixup_b3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89.21%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90.16%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 / 89.52%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cascade_v3.1_pretrained_focal_ls_cosine_mixup_b3（三分类肿瘤级联）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v3.2_pretrained_focal_ls_cosine_cutmix_b3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80.00%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85.71%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83.17%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cascade_v3.2_pretrained_focal_ls_cosine_cutmix_b3（三分类肿瘤级联）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v3.3_pretrained_focal_ls_cosine_se_b3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92.38%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 / 92.70%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cascade_pair_ad_sq_v3.3_pretrained_focal_ls_cosine_se_b3（两两专家级联）</w:t>
            </w:r>
          </w:p>
        </w:tc>
      </w:tr>
      <w:tr>
        <w:tc>
          <w:tcPr>
            <w:tcW w:w="3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v3.4_pretrained_focal_ls_cosine_cbam_b3</w:t>
            </w:r>
          </w:p>
        </w:tc>
        <w:tc>
          <w:tcPr>
            <w:tcW w:w="1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91.11%</w:t>
            </w:r>
          </w:p>
        </w:tc>
        <w:tc>
          <w:tcPr>
            <w:tcW w:w="1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92.06%</w:t>
            </w:r>
          </w:p>
        </w:tc>
        <w:tc>
          <w:tcPr>
            <w:tcW w:w="22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 / 91.43%</w:t>
            </w:r>
          </w:p>
        </w:tc>
        <w:tc>
          <w:tcPr>
            <w:tcW w:w="36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cascade_v3.4_pretrained_focal_ls_cosine_cbam_b3（三分类肿瘤级联）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七、按专家对的平均表现</w:t>
      </w: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808080"/>
          <w:insideV w:val="single" w:sz="6" w:space="0" w:color="808080"/>
        </w:tblBorders>
      </w:tblPr>
      <w:tblGrid>
        <w:gridCol w:w="2400"/>
        <w:gridCol w:w="1800"/>
        <w:gridCol w:w="1800"/>
        <w:gridCol w:w="1800"/>
      </w:tblGrid>
      <w:tr>
        <w:tc>
          <w:tcPr>
            <w:tcW w:w="24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专家对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平均测试准确率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最高测试准确率</w:t>
            </w:r>
          </w:p>
        </w:tc>
        <w:tc>
          <w:tcPr>
            <w:tcW w:w="1800" w:type="dxa"/>
            <w:shd w:fill="D9EAF7"/>
          </w:tcPr>
          <w:p>
            <w:pPr>
              <w:spacing w:after="120"/>
            </w:pPr>
            <w:r>
              <w:rPr>
                <w:b/>
                <w:sz w:val="20"/>
                <w:szCs w:val="20"/>
              </w:rPr>
              <w:t xml:space="preserve">最低测试准确率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大细胞癌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90.06%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93.65%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80.00%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腺癌 vs 鳞癌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90.25%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93.97%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83.17%</w:t>
            </w:r>
          </w:p>
        </w:tc>
      </w:tr>
      <w:tr>
        <w:tc>
          <w:tcPr>
            <w:tcW w:w="24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大细胞癌 vs 鳞癌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90.03%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93.33%</w:t>
            </w:r>
          </w:p>
        </w:tc>
        <w:tc>
          <w:tcPr>
            <w:tcW w:w="1800" w:type="dxa"/>
          </w:tcPr>
          <w:p>
            <w:pPr>
              <w:spacing w:after="120"/>
            </w:pPr>
            <w:r>
              <w:rPr>
                <w:sz w:val="18"/>
                <w:szCs w:val="18"/>
              </w:rPr>
              <w:t xml:space="preserve">80.00%</w:t>
            </w:r>
          </w:p>
        </w:tc>
      </w:tr>
    </w:tbl>
    <w:p>
      <w:pPr>
        <w:spacing w:after="120"/>
      </w:pPr>
      <w:r>
        <w:rPr>
          <w:b/>
          <w:sz w:val="26"/>
          <w:szCs w:val="26"/>
        </w:rPr>
        <w:t xml:space="preserve">八、实验解释</w:t>
      </w:r>
    </w:p>
    <w:p>
      <w:pPr>
        <w:spacing w:after="120"/>
      </w:pPr>
      <w:r>
        <w:rPr>
          <w:sz w:val="20"/>
          <w:szCs w:val="20"/>
        </w:rPr>
        <w:t xml:space="preserve">1. 同一家族内的5组结果可以直接对照，因为它们的主干、损失函数、调度器和增强策略一致，只在是否启用专家分支及专家划分方式上不同。</w:t>
      </w:r>
    </w:p>
    <w:p>
      <w:pPr>
        <w:spacing w:after="120"/>
      </w:pPr>
      <w:r>
        <w:rPr>
          <w:sz w:val="20"/>
          <w:szCs w:val="20"/>
        </w:rPr>
        <w:t xml:space="preserve">2. 单模型、三分类级联和两两级联三类结果同时保留，有助于区分“训练策略本身有效”还是“级联结构带来额外收益”。</w:t>
      </w:r>
    </w:p>
    <w:p>
      <w:pPr>
        <w:spacing w:after="120"/>
      </w:pPr>
      <w:r>
        <w:rPr>
          <w:sz w:val="20"/>
          <w:szCs w:val="20"/>
        </w:rPr>
        <w:t xml:space="preserve">3. 如果后续只保留少量候选方案继续深入，优先检查全局最优家族、最佳单模型家族以及平均表现最好的两两专家对。</w:t>
      </w:r>
    </w:p>
    <w:sectPr>
      <w:pgSz w:w="11906" w:h="16838"/>
      <w:pgMar w:top="1440" w:right="1440" w:bottom="1440" w:left="1440" w:header="708" w:footer="708" w:gutter="0"/>
    </w:sectPr>
  </w:body>
</w:document>
</file>