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宋体"/>
          <w:sz w:val="28"/>
          <w:szCs w:val="28"/>
          <w:b/>
        </w:rPr>
        <w:t xml:space="preserve">消融实验结果</w:t>
      </w:r>
    </w:p>
    <w:p>
      <w:pPr>
        <w:spacing w:after="120"/>
        <w:jc w:val="center"/>
      </w:pPr>
      <w:r>
        <w:rPr>
          <w:rFonts w:ascii="Calibri" w:hAnsi="Calibri" w:eastAsia="宋体"/>
          <w:sz w:val="20"/>
          <w:szCs w:val="20"/>
        </w:rPr>
        <w:t xml:space="preserve">来源：2026APMCM/doc/ablation_results.md</w:t>
      </w:r>
    </w:p>
    <w:p>
      <w:pPr>
        <w:spacing w:after="120"/>
        <w:jc w:val="center"/>
      </w:pPr>
      <w:r>
        <w:rPr>
          <w:rFonts w:ascii="Calibri" w:hAnsi="Calibri" w:eastAsia="宋体"/>
          <w:sz w:val="20"/>
          <w:szCs w:val="20"/>
        </w:rPr>
        <w:t xml:space="preserve">生成时间：2026-07-19</w:t>
      </w:r>
    </w:p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一、实验设置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所有实验均使用相同的数据集划分、`EfficientNet-B0` 主干网络，以及一致的训练超参数：`batch_size=16`、`image_size=224`、`lr=3e-4`、`weight_decay=1e-4`、`seed=42`。</w:t>
      </w:r>
    </w:p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二、结果汇总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  <w:b/>
              </w:rPr>
              <w:t xml:space="preserve">实验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  <w:b/>
              </w:rPr>
              <w:t xml:space="preserve">关键改动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  <w:b/>
              </w:rPr>
              <w:t xml:space="preserve">准确率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  <w:b/>
              </w:rPr>
              <w:t xml:space="preserve">Macro F1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`ablation_scratch_ce`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从零训练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39.68%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0.4427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旧版 CPU baseline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`ablation_pretrained_ce`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+ 预训练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76.19%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0.7721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最大的单项提升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`ablation_pretrained_ce_ls_cosine`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+ 标签平滑 + 余弦调度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77.46%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0.7894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历史最佳 CE 实验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`ablation_pretrained_ce_ls_cosine_weightedce`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+ 平衡类别权重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73.33%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0.7547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整体表现下降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`ablation_pretrained_focal_ls_cosine`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+ Focal Loss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79.37%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0.7988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消融扩展前的历史最佳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`ablation_scratch_ce_cuda`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CUDA 上从零训练 + 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40.63%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0.4488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与旧版 baseline 同一路线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`ablation_pretrained_ce_ls`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仅加标签平滑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83.81%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0.8416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最佳轻量正则策略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`ablation_pretrained_ce_cosine`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仅加余弦调度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0.7957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小幅提升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`ablation_pretrained_focal_ls_cosine_mixup`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+ MixUp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71.75%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0.7320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在当前任务中过于激进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`ablation_pretrained_focal_ls_cosine_cutmix`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+ CutMix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73.97%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0.7546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同样带来退化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`ablation_pretrained_focal_ls_cosine_se`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+ 额外 SE 模块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77.14%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0.7884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提升有限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`ablation_pretrained_focal_ls_cosine_cbam`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+ CBAM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86.35%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0.8646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综合最优</w:t>
            </w:r>
          </w:p>
        </w:tc>
      </w:tr>
    </w:tbl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三、注意力机制分析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• `ablation_pretrained_focal_ls_cosine_se` 的准确率为 `77.14%`，`macro F1` 为 `0.7884`。它没有超过 focal baseline，因此在 `EfficientNet-B0` 之上再加一个 SE 模块大体上是冗余的。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• `ablation_pretrained_focal_ls_cosine_cbam` 的准确率为 `86.35%`，`macro F1` 为 `0.8646`。与 SE 版本相比，准确率提升了 `9.21` 个百分点，`macro F1` 提升了 `0.0762`。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• 分类别来看，CBAM 显著提升了 `adenocarcinoma` 的召回率，同时保持了 `large.cell.carcinoma` 和 `normal` 的较强表现，但会降低 `squamous.cell.carcinoma` 的召回率。</w:t>
      </w:r>
    </w:p>
    <w:p>
      <w:pPr>
        <w:spacing w:after="120"/>
      </w:pPr>
      <w:r>
        <w:rPr>
          <w:rFonts w:ascii="Calibri" w:hAnsi="Calibri" w:eastAsia="宋体"/>
          <w:sz w:val="24"/>
          <w:szCs w:val="24"/>
          <w:b/>
        </w:rPr>
        <w:t xml:space="preserve">四、结论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• 预训练带来了最大的性能提升。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• 在当前实验中，标签平滑是效果最强的低成本正则化手段。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• 在当前小样本设定下，`balanced` 类别加权、MixUp 和 CutMix 都没有带来帮助。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• 额外加入的 SE 模块弱于 CBAM，并且在 `EfficientNet-B0` 之上大概率是冗余的。</w:t>
      </w:r>
    </w:p>
    <w:p>
      <w:pPr>
        <w:spacing w:after="120"/>
      </w:pPr>
      <w:r>
        <w:rPr>
          <w:rFonts w:ascii="Calibri" w:hAnsi="Calibri" w:eastAsia="宋体"/>
          <w:sz w:val="21"/>
          <w:szCs w:val="21"/>
        </w:rPr>
        <w:t xml:space="preserve">• 当前最佳实验为：`ablation_pretrained_focal_ls_cosine_cbam`。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消融实验结果中文翻译</dc:title>
  <dc:creator>Codex</dc:creator>
  <cp:lastModifiedBy>Codex</cp:lastModifiedBy>
  <dcterms:created xsi:type="dcterms:W3CDTF">2026-07-19T12:00:00Z</dcterms:created>
  <dcterms:modified xsi:type="dcterms:W3CDTF">2026-07-19T12:00:00Z</dcterms:modified>
</cp:coreProperties>
</file>