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rPr>
          <w:sz w:val="38"/>
        </w:rPr>
      </w:pPr>
      <w:r>
        <w:rPr>
          <w:sz w:val="38"/>
        </w:rPr>
        <w:t xml:space="preserve">Battery Cycle Life Test</w:t>
      </w:r>
    </w:p>
    <w:p>
      <w:pPr>
        <w:rPr>
          <w:sz w:val="49"/>
        </w:rPr>
      </w:pPr>
      <w:r>
        <w:rPr>
          <w:sz w:val="49"/>
        </w:rPr>
        <w:t xml:space="preserve">Summary report for the 18650 cell qualification
programme</w:t>
      </w:r>
    </w:p>
    <w:p>
      <w:pPr>
        <w:rPr>
          <w:sz w:val="30"/>
        </w:rPr>
      </w:pPr>
      <w:r>
        <w:rPr>
          <w:sz w:val="30"/>
        </w:rPr>
        <w:t xml:space="preserve">1. Purpose</w:t>
      </w:r>
    </w:p>
    <w:p>
      <w:pPr>
        <w:rPr>
          <w:sz w:val="24"/>
        </w:rPr>
      </w:pPr>
      <w:r>
        <w:rPr>
          <w:sz w:val="24"/>
        </w:rPr>
        <w:t xml:space="preserve">This report summarises the cycle life results collected for the candidate 18650 lithium-ion cell across three
charge rates. The programme's aim was to establish whether the cell retains at least 80 percent of its rated
capacity after 500 full charge-discharge cycles, the threshold this product line requires before a supplier is
qualified for volume orders.</w:t>
      </w:r>
    </w:p>
    <w:p>
      <w:pPr>
        <w:rPr>
          <w:sz w:val="29"/>
        </w:rPr>
      </w:pPr>
      <w:r>
        <w:rPr>
          <w:sz w:val="29"/>
        </w:rPr>
        <w:t xml:space="preserve">2. Method</w:t>
      </w:r>
    </w:p>
    <w:p>
      <w:pPr>
        <w:rPr>
          <w:sz w:val="22"/>
        </w:rPr>
      </w:pPr>
      <w:r>
        <w:rPr>
          <w:sz w:val="22"/>
        </w:rPr>
        <w:t xml:space="preserve">Twelve cells were drawn at random from a single production lot and divided into three groups of four, one
group per charge rate: 0.5C, 1.0C and 1.5C. Each cell was cycled between 3.0V and 4.2V at 23C in a
temperature-controlled chamber, with a full capacity check performed every 50 cycles on a calibrated cycler.</w:t>
      </w:r>
    </w:p>
    <w:p>
      <w:pPr>
        <w:rPr>
          <w:sz w:val="25"/>
        </w:rPr>
      </w:pPr>
      <w:r>
        <w:rPr>
          <w:sz w:val="25"/>
        </w:rPr>
        <w:t xml:space="preserve">Cells that fell outside 2 percent of the group's mean capacity at the first check were flagged and continued on a
separate log, so a single early outlier would not distort the reported group average.</w:t>
      </w:r>
    </w:p>
    <w:p>
      <w:pPr>
        <w:rPr>
          <w:sz w:val="22"/>
        </w:rPr>
      </w:pPr>
      <w:r>
        <w:rPr>
          <w:sz w:val="22"/>
        </w:rPr>
        <w:t xml:space="preserve">Two cells were withdrawn from the programme before the 500-cycle mark: one for a connector fault unrelated
to the cell itself, and one for a thermal excursion that exceeded the test's safety envelope. Neither withdrawal is
included in the averages below.</w:t>
      </w:r>
    </w:p>
    <w:p>
      <w:pPr>
        <w:rPr>
          <w:sz w:val="26"/>
        </w:rPr>
      </w:pPr>
      <w:r>
        <w:rPr>
          <w:sz w:val="26"/>
        </w:rPr>
        <w:t xml:space="preserve">3. Results</w:t>
      </w:r>
    </w:p>
    <w:p>
      <w:pPr>
        <w:rPr>
          <w:sz w:val="25"/>
        </w:rPr>
      </w:pPr>
      <w:r>
        <w:rPr>
          <w:sz w:val="25"/>
        </w:rPr>
        <w:t xml:space="preserve">Table 1 lists the capacity retention measured at the 500-cycle checkpoint for each group, averaged across the
surviving cells in that group.</w:t>
      </w:r>
    </w:p>
    <w:p>
      <w:pPr>
        <w:rPr>
          <w:sz w:val="30"/>
        </w:rPr>
      </w:pPr>
      <w:r>
        <w:rPr>
          <w:sz w:val="30"/>
        </w:rPr>
        <w:t xml:space="preserve">Charge rate</w:t>
      </w:r>
    </w:p>
    <w:p>
      <w:pPr>
        <w:rPr>
          <w:sz w:val="28"/>
        </w:rPr>
      </w:pPr>
      <w:r>
        <w:rPr>
          <w:sz w:val="28"/>
        </w:rPr>
        <w:t xml:space="preserve">Cells</w:t>
      </w:r>
    </w:p>
    <w:p>
      <w:pPr>
        <w:rPr>
          <w:sz w:val="22"/>
        </w:rPr>
      </w:pPr>
      <w:r>
        <w:rPr>
          <w:sz w:val="22"/>
        </w:rPr>
        <w:t xml:space="preserve">Capacity retention</w:t>
      </w:r>
    </w:p>
    <w:p>
      <w:pPr>
        <w:rPr>
          <w:sz w:val="29"/>
        </w:rPr>
      </w:pPr>
      <w:r>
        <w:rPr>
          <w:sz w:val="29"/>
        </w:rPr>
        <w:t xml:space="preserve">Notes</w:t>
      </w:r>
    </w:p>
    <w:p>
      <w:pPr>
        <w:rPr>
          <w:sz w:val="28"/>
        </w:rPr>
      </w:pPr>
      <w:r>
        <w:rPr>
          <w:sz w:val="28"/>
        </w:rPr>
        <w:t xml:space="preserve">0.5C</w:t>
      </w:r>
    </w:p>
    <w:sectPr/>
  </w:body>
</w:document>
</file>