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Rich Field Report</w:t>
      </w:r>
    </w:p>
    <w:p>
      <w:pPr>
        <w:pStyle w:val="Heading1"/>
      </w:pPr>
      <w:r>
        <w:t>1. Test Campaign</w:t>
      </w:r>
    </w:p>
    <w:p>
      <w:r>
        <w:t xml:space="preserve">The </w:t>
      </w:r>
      <w:r>
        <w:rPr>
          <w:b/>
        </w:rPr>
        <w:t>measurement</w:t>
      </w:r>
      <w:r>
        <w:t xml:space="preserve"> team ran three cells for </w:t>
      </w:r>
      <w:r>
        <w:rPr>
          <w:i/>
        </w:rPr>
        <w:t>1200 cycles</w:t>
      </w:r>
      <w:r>
        <w:t xml:space="preserve"> at 25 degrees.</w:t>
      </w:r>
    </w:p>
    <w:p>
      <w:r>
        <w:t>The chart below summarises the retained capacity per cell.</w:t>
      </w:r>
    </w:p>
    <w:p>
      <w:r>
        <w:drawing xmlns:w="http://schemas.openxmlformats.org/wordprocessingml/2006/main">
          <wp:inline xmlns:wp="http://schemas.openxmlformats.org/drawingml/2006/wordprocessingDrawing" distT="0" distB="0" distL="0" distR="0">
            <wp:extent cx="2286000" cy="1397000"/>
            <wp:docPr id="1" name="Char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 1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1: capacity retained after the campaign. </w:t>
      </w:r>
      <w:r>
        <w:rPr>
          <w:i/>
        </w:rPr>
        <w:t>Cell A-103 sits at the review threshold.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>Cell</w:t>
            </w:r>
          </w:p>
        </w:tc>
        <w:tc>
          <w:tcPr>
            <w:tcW w:w="2000" w:type="dxa"/>
          </w:tcPr>
          <w:p>
            <w:r>
              <w:rPr>
                <w:b/>
              </w:rPr>
              <w:t>Cycles</w:t>
            </w:r>
          </w:p>
        </w:tc>
        <w:tc>
          <w:tcPr>
            <w:tcW w:w="2000" w:type="dxa"/>
          </w:tcPr>
          <w:p>
            <w:r>
              <w:rPr>
                <w:b/>
              </w:rPr>
              <w:t>Capacity</w:t>
            </w:r>
          </w:p>
        </w:tc>
      </w:tr>
      <w:tr>
        <w:tc>
          <w:tcPr>
            <w:tcW w:w="2000" w:type="dxa"/>
          </w:tcPr>
          <w:p>
            <w:r>
              <w:t>A-101</w:t>
            </w:r>
          </w:p>
        </w:tc>
        <w:tc>
          <w:tcPr>
            <w:tcW w:w="2000" w:type="dxa"/>
          </w:tcPr>
          <w:p>
            <w:r>
              <w:t>500</w:t>
            </w:r>
          </w:p>
        </w:tc>
        <w:tc>
          <w:tcPr>
            <w:tcW w:w="2000" w:type="dxa"/>
          </w:tcPr>
          <w:p>
            <w:r>
              <w:t>92 percent</w:t>
            </w:r>
          </w:p>
        </w:tc>
      </w:tr>
      <w:tr>
        <w:tc>
          <w:tcPr>
            <w:tcW w:w="2000" w:type="dxa"/>
          </w:tcPr>
          <w:p>
            <w:r>
              <w:t>A-102</w:t>
            </w:r>
          </w:p>
        </w:tc>
        <w:tc>
          <w:tcPr>
            <w:tcW w:w="2000" w:type="dxa"/>
          </w:tcPr>
          <w:p>
            <w:r>
              <w:t>800</w:t>
            </w:r>
          </w:p>
        </w:tc>
        <w:tc>
          <w:tcPr>
            <w:tcW w:w="2000" w:type="dxa"/>
          </w:tcPr>
          <w:p>
            <w:r>
              <w:t>88 percent</w:t>
            </w:r>
          </w:p>
        </w:tc>
      </w:tr>
      <w:tr>
        <w:tc>
          <w:tcPr>
            <w:tcW w:w="2000" w:type="dxa"/>
          </w:tcPr>
          <w:p>
            <w:r>
              <w:t>A-103</w:t>
            </w:r>
          </w:p>
        </w:tc>
        <w:tc>
          <w:tcPr>
            <w:tcW w:w="2000" w:type="dxa"/>
          </w:tcPr>
          <w:p>
            <w:r>
              <w:t>1200</w:t>
            </w:r>
          </w:p>
        </w:tc>
        <w:tc>
          <w:tcPr>
            <w:tcW w:w="2000" w:type="dxa"/>
          </w:tcPr>
          <w:p>
            <w:r>
              <w:t>71 percent</w:t>
            </w:r>
          </w:p>
        </w:tc>
      </w:tr>
    </w:tbl>
    <w:p>
      <w:r>
        <w:t>Conclusion: two cells passed, one is flagged for review.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7" Type="http://schemas.openxmlformats.org/officeDocument/2006/relationships/image" Target="media/image1.png"/>
</Relationships>
</file>

<file path=docProps/core.xml><?xml version="1.0" encoding="utf-8"?>
<cp:coreProperties xmlns:cp="http://schemas.openxmlformats.org/package/2006/metadata/core-properties" xmlns:dc="http://purl.org/dc/elements/1.1/">
  <dc:title>Rich Field Report</dc:title>
  <dc:creator>Test Author</dc:creator>
</cp:coreProperties>
</file>