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Infosys Annual Report Executive Summary</w:t>
      </w:r>
    </w:p>
    <w:p>
      <w:r>
        <w:t>This document contains key excerpts and summaries from the Infosys Annual Report 2024-25.</w:t>
      </w:r>
    </w:p>
    <w:p>
      <w:pPr>
        <w:pStyle w:val="Heading1"/>
      </w:pPr>
      <w:r>
        <w:t>Key Insight 1</w:t>
      </w:r>
    </w:p>
    <w:p>
      <w:r>
        <w:t>If such assets are considered to be impaired, the impairment to amount. The carrying amount of the asset is increased to its</w:t>
        <w:br/>
        <w:t>be recognized in the Statement of Profit and Loss is measured by revised recoverable amount, provided that this amount does not</w:t>
        <w:br/>
        <w:t>the amount by which the carrying value of the assets exceeds the exceed the carrying amount that would have been determined</w:t>
        <w:br/>
        <w:t>estimated recoverable amount of the asset. An impairment loss (net of any accumulated depreciation) had no impairment loss</w:t>
        <w:br/>
        <w:t>is reversed in the Statement of Profit and Loss if there has been been recognized for the asset in prior years.</w:t>
        <w:br/>
        <w:t>a change in the estimates used to determine the recoverable</w:t>
        <w:br/>
        <w:t>The changes in the carrying value of property, plant and equipment for the year ended March 31, 2025 are as follows:</w:t>
        <w:br/>
        <w:t>(In ₹ crore)</w:t>
        <w:br/>
        <w:t>Particulars Land – Buildings(1)(2) Plant and Office Computer Furniture Leasehold Vehicles Total</w:t>
        <w:br/>
        <w:t>Freehold machinery(2) equipment(2) equipment(2) and improvements</w:t>
        <w:br/>
        <w:t>fixtures(2)</w:t>
        <w:br/>
        <w:t>Gross carrying</w:t>
        <w:br/>
        <w:t>value as at April 1,</w:t>
        <w:br/>
        <w:t>2024 1,430 10,679 3,214 1,370 7,379 2,160 963 45 27,240</w:t>
        <w:br/>
        <w:t>Additions 47 32 45 97 1,013 47 68 2 1,351</w:t>
        <w:br/>
        <w:t>Deletions** – (90) (21) (44) (475) (81) (250) (1) (962)</w:t>
        <w:br/>
        <w:t>Gross carrying</w:t>
        <w:br/>
        <w:t>value as at March</w:t>
        <w:br/>
        <w:t>31, 2025 1,477 10,621 3,238 1,423 7,917 2,126 781 46 27,629</w:t>
        <w:br/>
        <w:t>Accumulated</w:t>
        <w:br/>
        <w:t>depreciation as at</w:t>
        <w:br/>
        <w:t>April 1, 2024 – (4,575) (2,732) (1,139) (5,497) (1,709) (733) (42) (16,427)</w:t>
        <w:br/>
        <w:t>Depreciation – (402) (176) (99) (1,034) (166) (125) (2) (2,004)</w:t>
        <w:br/>
        <w:t>Accumulated</w:t>
        <w:br/>
        <w:t>depreciation on</w:t>
        <w:br/>
        <w:t>deletions** – 13 20 43 469 79 247 1 872</w:t>
        <w:br/>
        <w:t>Acc</w:t>
      </w:r>
    </w:p>
    <w:p>
      <w:pPr>
        <w:pStyle w:val="Heading1"/>
      </w:pPr>
      <w:r>
        <w:t>Key Insight 2</w:t>
      </w:r>
    </w:p>
    <w:p>
      <w:r>
        <w:t>a. Gratuity and Pension</w:t>
        <w:br/>
        <w:t>The details of the defined benefit retirement plans and the amounts recognized in the Standalone financial statements as at March 31,</w:t>
        <w:br/>
        <w:t>2025 and March 31, 2024 are as follows:</w:t>
        <w:br/>
        <w:t>(In ₹ crore)</w:t>
        <w:br/>
        <w:t>Particulars Gratuity Pension</w:t>
        <w:br/>
        <w:t>As at March 31, As at March 31,</w:t>
        <w:br/>
        <w:t>2025 2024 2025 2024</w:t>
        <w:br/>
        <w:t>Change in benefit obligations</w:t>
        <w:br/>
        <w:t>Benefit obligations at the beginning 1,830 1,524 686 591</w:t>
        <w:br/>
        <w:t>Service cost 305 280 28 30</w:t>
        <w:br/>
        <w:t>Interest expense 122 104 11 11</w:t>
        <w:br/>
        <w:t>Past service cost – plan amendments – – – (28)</w:t>
        <w:br/>
        <w:t>Transfer 4 32 – –</w:t>
        <w:br/>
        <w:t>Remeasurements – Actuarial (gains) / losses 73 22 57 18</w:t>
        <w:br/>
        <w:t>Employee contribution – – 24 23</w:t>
        <w:br/>
        <w:t>Benefits paid (158) (132) (18) 29</w:t>
        <w:br/>
        <w:t>Translation difference 1 – 37 12</w:t>
        <w:br/>
        <w:t>Benefit obligations at the end 2,177 1,830 825 686</w:t>
        <w:br/>
        <w:t>Change in plan assets</w:t>
        <w:br/>
        <w:t>Fair value of plan assets at the beginning 1,817 1,516 650 537</w:t>
        <w:br/>
        <w:t>Interest income 132 110 11 10</w:t>
        <w:br/>
        <w:t>Transfer 4 3 – –</w:t>
        <w:br/>
        <w:t>Remeasurements- Return on plan assets excluding amounts</w:t>
        <w:br/>
        <w:t>included in interest income 20 15 48 11</w:t>
        <w:br/>
        <w:t>Employee contribution – – 24 23</w:t>
        <w:br/>
        <w:t>Employer contribution 590 303 28 29</w:t>
        <w:br/>
        <w:t>Benefits paid (155) (130) (18) 29</w:t>
        <w:br/>
        <w:t>Translation difference (1) – 32 11</w:t>
        <w:br/>
        <w:t>Fair value of plan assets at the end 2,407 1,817 775 650</w:t>
        <w:br/>
        <w:t>Funded status 230 (13) (50) (36)</w:t>
        <w:br/>
        <w:t>Defined benefit plan asset (Refer to Note 2.10) 257 9 – –</w:t>
        <w:br/>
        <w:t>Defined benefit plan liability (27) (22) (50) (36)</w:t>
        <w:br/>
        <w:t>The amount for the year ended March 31, 2025 and March 31, 2024 recognized in the Statement of Profit and Loss under employee</w:t>
        <w:br/>
        <w:t>benefit expense are as follows:</w:t>
        <w:br/>
        <w:t>(In ₹ crore)</w:t>
        <w:br/>
        <w:t>Particulars Gratuity Pension</w:t>
        <w:br/>
        <w:t>Year ended March 31, Year en</w:t>
      </w:r>
    </w:p>
    <w:p>
      <w:pPr>
        <w:pStyle w:val="Heading1"/>
      </w:pPr>
      <w:r>
        <w:t>Key Insight 3</w:t>
      </w:r>
    </w:p>
    <w:p>
      <w:r>
        <w:t>the Group in accordance with Ind AS 115, Revenue from Contract with</w:t>
        <w:br/>
        <w:t>Particulars Year ended March 31,</w:t>
        <w:br/>
        <w:t>Customers. As at March 31, 2025 and March 31, 2024, the financial liability</w:t>
        <w:br/>
        <w:t>2025 2024 pertaining to such arrangements amounts to ₹67 crore and ₹372 crore,</w:t>
        <w:br/>
        <w:t>respectively.</w:t>
        <w:br/>
        <w:t>Capital creditors(1) 520 310</w:t>
        <w:br/>
        <w:t># Represents liability related to options issued by the Group over the non-</w:t>
        <w:br/>
        <w:t>Other payables(1)(4) 475 571 controlling interests in its subsidiaries</w:t>
        <w:br/>
        <w:t>Total current other financial Accrued expenses primarily relate to cost of technical</w:t>
        <w:br/>
        <w:t>liabilities 18,138 16,959</w:t>
        <w:br/>
        <w:t>sub-contractors, telecommunication charges, legal and</w:t>
        <w:br/>
        <w:t>Total other financial liabilities 20,279 19,089 professional charges, brand building expenses, overseas</w:t>
        <w:br/>
        <w:t>(1) Financial liability carried at amortized cost 16,511 15,750 travel expenses, office maintenance and cost of third party</w:t>
        <w:br/>
        <w:t>software and hardware.</w:t>
        <w:br/>
        <w:t>(2) Financial liability carried at fair value</w:t>
        <w:br/>
        <w:t>through profit or loss 728 627</w:t>
        <w:br/>
        <w:t>2.14 Trade payables</w:t>
        <w:br/>
        <w:t>(3) Financial liability carried at fair value</w:t>
        <w:br/>
        <w:t>through other comprehensive income 33 1 (In ₹ crore)</w:t>
        <w:br/>
        <w:t>Financial liability under option Particulars Year ended March 31,</w:t>
        <w:br/>
        <w:t>arrangements on an undiscounted</w:t>
        <w:br/>
        <w:t>2025 2024</w:t>
        <w:br/>
        <w:t>basis 761 690</w:t>
        <w:br/>
        <w:t>Outstanding dues of micro enterprises 8 101</w:t>
        <w:br/>
        <w:t>Contingent consideration on</w:t>
        <w:br/>
        <w:t>and small enterprises (MSME)</w:t>
        <w:br/>
        <w:t>undiscounted basis 33 –</w:t>
        <w:br/>
        <w:t>Outstanding dues of creditors other 4,156 3,855</w:t>
        <w:br/>
        <w:t>(4) The Group entered into financing arrangements with a third party than micro enterprises and small</w:t>
        <w:br/>
        <w:t>towards technology assets taken over by the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