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sz w:val="40"/>
          <w:szCs w:val="40"/>
        </w:rPr>
        <w:t xml:space="preserve">Literature Review Master Plan</w:t>
      </w:r>
    </w:p>
    <w:p>
      <w:pPr>
        <w:spacing w:after="40"/>
        <w:jc w:val="center"/>
      </w:pPr>
      <w:r>
        <w:rPr>
          <w:color w:val="444444"/>
          <w:sz w:val="25"/>
          <w:szCs w:val="25"/>
        </w:rPr>
        <w:t xml:space="preserve">AI Chatbot with Mood Detection — IT22638168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Pregnancy Support System (MaternaLink) — Project ID R26-IT-146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Livera S.D — IT22638168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Purpose of this document</w:t>
            </w:r>
          </w:p>
          <w:p>
            <w:r>
              <w:rPr>
                <w:sz w:val="20"/>
                <w:szCs w:val="20"/>
              </w:rPr>
              <w:t xml:space="preserve">This is a working research roadmap, not the literature review itself. It targets the current v2 architecture (Face + Text + Behaviour, behavioural signal under active review) and is designed to produce, by the end of the research phase, everything needed to write a defensible literature review and to resolve the open behavioural-signal decision on evidence rather than intuition.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A. Overall Literature Review Structure</w:t>
      </w:r>
    </w:p>
    <w:p>
      <w:pPr>
        <w:spacing w:after="160"/>
      </w:pPr>
      <w:r>
        <w:t xml:space="preserve">Not every topic in a generic checklist earns a section here. The structure below is scoped to what this component actually needs to defend — each inclusion or exclusion is justified, not assumed.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500"/>
        <w:gridCol w:w="4050"/>
      </w:tblGrid>
      <w:tr>
        <w:trPr>
          <w:tblHeader/>
        </w:trPr>
        <w:tc>
          <w:tcPr>
            <w:tcW w:type="dxa" w:w="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Include?</w:t>
            </w:r>
          </w:p>
        </w:tc>
        <w:tc>
          <w:tcPr>
            <w:tcW w:type="dxa" w:w="40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Maternal mental health &amp; antenatal emotional wellbeing (global + Sri Lanka)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the problem justification. Sri Lankan-specific prevalence data is what Gap 1 stands on; already partly sourced in earlier revisions and needs completing, not starting from zero.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pregnancy-support &amp; maternal-health applications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Feeds directly into Section H (competitor matrix) and the Related Work chapter.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Conversational agents for mental health (chatbots)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narrowed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Narrow from generic 'AI/LLM healthcare chatbots' to perinatal/mental-health-specific agents (Woebot, Wysa, etc.) — broader healthcare-chatbot literature is not relevant to this component's claims.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Affective computing &amp; Facial Emotion Recognition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Module 2's FER component and the MobileNetV2/TFLite technology choice; must include on-device/mobile FER and head-pose robustness as subsections, not separate chapters — scope discipline matters here.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sentiment analysis: English transformers + Sinhala/low-resource NLP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core, two subsections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justifies DistilBERT and the custom Sinhala lexicon approach; Sinhala NLP needs its own subsection given how much this project's defensibility rests on it.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Multimodal emotion fusion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Module 3's fusion design and is where the 45/40/15 (or revised) weighting gets its methodological grounding.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Behavioural/passive signals for emotion inference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but flagged as under review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Section G. This section's conclusion may end up justifying removal rather than inclusion — that is a legitimate literature review outcome, not a failure.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/ mood-conditioned conversational response generation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core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the actual mechanism (mood-conditioned system prompts) distinguishing this from a static chatbot.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Therapeutic music &amp; digital interventions for antenatal anxiety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short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Grounds the music feature; does not need the same depth as the AI-technical sections since it supports one smaller sub-feature.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Privacy, ethics &amp; on-device inference in health apps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short but necessary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Directly supports the consent-flow and on-device-processing design decisions already made; also pre-empts likely ethics-committee questions.</w:t>
            </w:r>
          </w:p>
        </w:tc>
      </w:tr>
      <w:tr>
        <w:tc>
          <w:tcPr>
            <w:tcW w:type="dxa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systems comparative analysis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as its own chapter, not folded into #2</w:t>
            </w:r>
          </w:p>
        </w:tc>
        <w:tc>
          <w:tcPr>
            <w:tcW w:type="dxa" w:w="40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 to be a structured comparison table (Section H), not prose scattered through #2 — this is what makes Gap 1/2/3 visually obvious to an examiner.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Deliberately excluded or merged: a standalone 'mobile/edge AI' chapter (folded into FER as a subsection — not enough independent content to justify its own section at this scope); a standalone 'React Native / mobile development' chapter (this is engineering practice, not a research literature topic); a general 'LLM architecture' chapter (out of scope — the LLM itself is used, not studied).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B. Module-by-Module Research Plan</w:t>
      </w:r>
    </w:p>
    <w:p>
      <w:pPr>
        <w:pStyle w:val="Heading2"/>
        <w:spacing w:after="120" w:before="240"/>
      </w:pPr>
      <w:r>
        <w:t xml:space="preserve">Module 1 — AI Chatbot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Conversational agents for mental health / perinatal support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the choice of an LLM-based, mood-conditioned chatbot over a rule-based or scripted alternative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conversational-agent designs exist for perinatal/maternal mental health? What evaluation methods do they use? Do any support Sinhala or another South Asian language?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2019–2025 (chatbot/LLM field moves fast; anything pre-2018 is likely outdated for design comparison, though Woebot's original 2017 RCT is a legitimate exception as a foundational trial)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Peer-reviewed HCI/health-informatics journals, systematic reviews (e.g. perinatal digital-health reviews), primary app evaluation studies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 population, language support, evaluation method, reported outcomes, whether adaptive/static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Objective 1 justification; Related Work comparison table</w:t>
            </w:r>
          </w:p>
        </w:tc>
      </w:tr>
    </w:tbl>
    <w:p>
      <w:pPr>
        <w:pStyle w:val="Heading2"/>
        <w:spacing w:after="120" w:before="240"/>
      </w:pPr>
      <w:r>
        <w:t xml:space="preserve">Module 2 — Mood Detection</w:t>
      </w:r>
    </w:p>
    <w:p>
      <w:pPr>
        <w:pStyle w:val="Heading3"/>
        <w:spacing w:after="100" w:before="200"/>
      </w:pPr>
      <w:r>
        <w:t xml:space="preserve">B.1 Facial Emotion Recognition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 architectures, transfer learning, and — critically — head-pose/viewing-angle robustness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MobileNetV2 + TFLite; the head-pose subsection is not optional — it is the single most likely technical challenge in your viva given the phone-holding use case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accuracy do lightweight CNNs achieve on 3-class emotion output? How much does accuracy degrade at non-frontal head angles? What mitigations exist (confidence filtering, temporal smoothing, pose-aware training)?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5–7 (at least 2 must specifically address head-pose/viewing-angle effects — this is non-negotiable given the design decision already made in v2)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2018–2025, but foundational FER-2013/AffectNet papers (dataset origin papers) are correctly cited regardless of age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IEEE/ACM affective computing journals and conferences (FG, ACII), dataset papers, mobile-CV 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Architecture, dataset, accuracy, class count, head-pose findings if present, real-world vs. lab conditions, inference speed on mobile hardware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§3.2.2 methodology, the confidence-threshold/EMA mitigation design, Appendix D risk R1</w:t>
            </w:r>
          </w:p>
        </w:tc>
      </w:tr>
    </w:tbl>
    <w:p>
      <w:pPr>
        <w:pStyle w:val="Heading3"/>
        <w:spacing w:after="100" w:before="200"/>
      </w:pPr>
      <w:r>
        <w:t xml:space="preserve">B.2 English Sentiment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Transformer-based sentiment classification, particularly distilled/lightweight models and negation handling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DistilBERT over a lexicon approach for English — you already have the comparative reasoning; this section needs the citations behind it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do distilled transformers compare to full-size models on sentiment tasks? How well do general-purpose sentiment models transfer to health/wellbeing-context text outside their training domain?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2019–2024 (DistilBERT itself is 2019; domain-transfer papers should be recent)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NLP conference papers (ACL, EMNLP), model/benchmark 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size, benchmark accuracy, domain-transfer findings, negation-handling behaviour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§3.2.2 (English) technology-comparison paragraph, already partly written — this fills in the citation gap</w:t>
            </w:r>
          </w:p>
        </w:tc>
      </w:tr>
    </w:tbl>
    <w:p>
      <w:pPr>
        <w:pStyle w:val="Heading3"/>
        <w:spacing w:after="100" w:before="200"/>
      </w:pPr>
      <w:r>
        <w:t xml:space="preserve">B.3 Sinhala / Low-Resource Sentiment Analysis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Sinhala NLP resources, lexicon-based sentiment methods, low-resource language sentiment strategies generally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one of your strongest defensible novelty threads — it needs to be the best-cited subsection in the whole review, not the thinnest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Sinhala sentiment resources exist and how were they built/validated? How does lexicon-based sentiment compare to model-based methods for genuinely low-resource languages? What domain-adaptation strategies exist for extending a general lexicon to a specific context?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5–7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2014–2024 (low-resource-language NLP is a smaller field; older foundational papers, e.g. Chen &amp; Skiena 2014, remain correctly citable)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ACL Anthology, regional NLP conferences (ICTer, and similar Sri Lankan/South Asian venues), corpus/dataset 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Language, method, dataset size, reported accuracy/coverage, whether data/lexicon is publicly available and under what licence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§3.2.3 methodology; directly informs how the domain-vocabulary extension is framed as original work</w:t>
            </w:r>
          </w:p>
        </w:tc>
      </w:tr>
    </w:tbl>
    <w:p>
      <w:pPr>
        <w:pStyle w:val="Heading3"/>
        <w:spacing w:after="100" w:before="200"/>
      </w:pPr>
      <w:r>
        <w:t xml:space="preserve">B.4 Behavioural Signals — see Section G (dedicated track, decision pending)</w:t>
      </w:r>
    </w:p>
    <w:p>
      <w:pPr>
        <w:pStyle w:val="Heading2"/>
        <w:spacing w:after="120" w:before="240"/>
      </w:pPr>
      <w:r>
        <w:t xml:space="preserve">Module 3 — Adaptive Intelligence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 (fusion)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Multimodal emotion/affect fusion strategies — early vs. late fusion, modality weighting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the fusion architecture itself and gives the weight values (45/40/15 or revised) a citable methodological basis instead of being asserted numbers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is modality weighting typically determined in affective-computing fusion systems — fixed, learned, or empirically tuned? Is visual-modality dominance in fusion an established finding or context-dependent?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2017–2024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Affective computing surveys/reviews (e.g. Poria et al.-style multimodal fusion reviews), fusion-methodology 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Fusion strategy type, modality weighting method, reported performance vs. single-modality baselines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§3.2.6 methodology — the weighting justification paragraph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topic (adaptive response)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Mood-conditioned or affect-aware response generation in conversational systems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needed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Justifies the actual mechanism that makes this project's contribution distinct from a static chatbot with a bolted-on mood display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questions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conditioning response tone on detected affect improve engagement or perceived support in existing studies? How is this typically implemented (prompt injection vs. fine-tuning vs. rule-based)?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Papers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Ideal years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2020–2025 (LLM-prompt-based approaches are recent by necessity)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types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HCI/conversational-AI conference papers, affective dialogue system 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Conditioning mechanism, evaluation method, reported effect on user experience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Influences</w:t>
            </w:r>
          </w:p>
        </w:tc>
        <w:tc>
          <w:tcPr>
            <w:tcW w:type="dxa" w:w="6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§3.2.6/Objective 3 justification</w:t>
            </w:r>
          </w:p>
        </w:tc>
      </w:tr>
    </w:tbl>
    <w:p>
      <w:pPr>
        <w:pStyle w:val="Heading2"/>
        <w:spacing w:after="120" w:before="240"/>
      </w:pPr>
      <w:r>
        <w:t xml:space="preserve">Module 4 — Data Management</w:t>
      </w:r>
    </w:p>
    <w:p>
      <w:pPr>
        <w:spacing w:after="160"/>
      </w:pPr>
      <w:r>
        <w:rPr>
          <w:i/>
          <w:iCs/>
        </w:rPr>
        <w:t xml:space="preserve">No dedicated literature section is needed here — offline-first mobile storage and JSON export are engineering practice, not an open research question. The relevant citation need is a short one covering offline-first design in low-connectivity health contexts (1–2 papers), folded into the Sri Lankan background section rather than given its own chapter.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C. Paper Collection Target</w:t>
      </w:r>
    </w:p>
    <w:p>
      <w:pPr>
        <w:spacing w:after="160"/>
      </w:pPr>
      <w:r>
        <w:t xml:space="preserve">This is an undergraduate proposal-level literature review supporting one component of a group project — not a standalone systematic review or a PhD-level survey. Volume for its own sake actively hurts you: a bloated reference list with weak per-paper engagement reads worse than a tight, well-extracted 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5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53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Minimum useful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papers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Below this, several sections (Sinhala NLP, head-pose FER, fusion weighting) will not have enough support to defend the specific claims already made in the v2 methodology.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26–30 papers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Enough depth per topic to write a genuine synthesis (not just a list) while remaining achievable in the 2-week literature review WBS task alongside the rest of your workload.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Maximum before diminishing returns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~35–40 papers</w:t>
            </w:r>
          </w:p>
        </w:tc>
        <w:tc>
          <w:tcPr>
            <w:tcW w:type="dxa" w:w="5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 this, additional papers mostly duplicate findings already covered; time is better spent on deeper extraction of existing papers or on the extra existing-systems analysis in Section 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Distribution across topics (recommended-level target: ~28)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50"/>
      </w:tblGrid>
      <w:tr>
        <w:trPr>
          <w:tblHeader/>
        </w:trPr>
        <w:tc>
          <w:tcPr>
            <w:tcW w:type="dxa" w:w="5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39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 papers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Maternal mental health / Sri Lanka context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pregnancy-support &amp; mental-health apps (feeds Section H too)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 (plus the systems reviewed directly in Section H, not double-counted)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Conversational agents for mental health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4–6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Facial Emotion Recognition (incl. ≥2 on head-pose specifically)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5–7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English sentiment / transformers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Sinhala / low-resource NLP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5–7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Multimodal fusion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Adaptive/affect-conditioned response generation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Therapeutic music &amp; digital interventions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Privacy/ethics/on-device inference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Behavioural signal track (Section G)</w:t>
            </w:r>
          </w:p>
        </w:tc>
        <w:tc>
          <w:tcPr>
            <w:tcW w:type="dxa" w:w="3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4–6, tracked separately — see below</w:t>
            </w:r>
          </w:p>
        </w:tc>
      </w:tr>
    </w:tbl>
    <w:p>
      <w:pPr>
        <w:spacing w:after="160"/>
      </w:pPr>
      <w:r>
        <w:rPr>
          <w:i/>
          <w:iCs/>
        </w:rPr>
        <w:t xml:space="preserve">Note: topic targets overlap slightly by design (a paper can legitimately count toward two subsections, e.g. a Sri Lankan telehealth-privacy paper). Do not force artificial separation just to hit per-topic quotas.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D. Source Quality Strategy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250"/>
      </w:tblGrid>
      <w:tr>
        <w:trPr>
          <w:tblHeader/>
        </w:trPr>
        <w:tc>
          <w:tcPr>
            <w:tcW w:type="dxa" w:w="13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38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counts</w:t>
            </w:r>
          </w:p>
        </w:tc>
        <w:tc>
          <w:tcPr>
            <w:tcW w:type="dxa" w:w="42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Examples relevant to this project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Systematic reviews, meta-analyses, papers in major peer-reviewed journals or top-tier conferences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IEEE Transactions on Affective Computing, ACL/EMNLP main proceedings, BMC Psychiatry, Ceylon Medical Journal, JMIR Mental Health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Strong single-domain studies, technical/method papers, validated public datasets and model cards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AffectNet/FER-2013 dataset papers, MobileNetV2/DistilBERT original papers, Hugging Face model cards with reported benchmarks, regional conferences (ICTer)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Tier 3</w:t>
            </w:r>
          </w:p>
        </w:tc>
        <w:tc>
          <w:tcPr>
            <w:tcW w:type="dxa" w:w="3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Supporting sources — theses, preprints, industry reports used only for context, not as primary evidence for a technical claim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TRCSL statistical reports, Department of Census and Statistics reports, well-documented GitHub repos accompanying a paper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Avoid or use only with extra caution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source that cannot be independently verified to exist and say what it's cited as saying — given this exact project's earlier history with fabricated citations, this is not a generic warning, it is a mandatory check on every single source before it enters the extraction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 posts, marketing pages, and un-refereed preprints as primary evidence for a technical accuracy claim — acceptable only as pointers toward a real paper, never as the citation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Predatory or non-indexed journals — if a journal doesn't appear in a recognizable index (Scopus, Web of Science, IEEE Xplore, ACL Anthology, PubMed) and isn't a known Sri Lankan academic venue, verify its legitimacy before using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Scholar search-result links used as the citation itself, rather than the actual paper/DOI — a repeat of the exact problem found and fixed earlier in this project.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E. What to Extract From Every Paper</w:t>
      </w:r>
    </w:p>
    <w:p>
      <w:pPr>
        <w:spacing w:after="160"/>
      </w:pPr>
      <w:r>
        <w:t xml:space="preserve">Use this as the column headers of the Paper Extraction Sheet (Section I). Every paper gets one row — no exceptions, including papers you're fairly sure you won't end up citing, since a fast 'not relevant, discarded' entry is cheaper than re-finding a paper later.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1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goes here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Citation (full)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Author, year, title, venue — enough to build a real IEEE-format reference, not a search link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 / stable link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link to the actual paper, verified to load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problem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sentence: what question the paper is answering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Dataset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Name, size, source, licence if stated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 / context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the subjects were, what country/language/setting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Study design or technical method in brief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Model/algorithm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architecture or technique, if applicable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Input modality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/ text / behaviour / audio / other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system classifies or predicts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Evaluation metrics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Accuracy, F1, precision/recall, prevalence %, etc.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actual numbers, not just 'performed well'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Limitations (stated by authors)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the paper itself admits it doesn't solve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Relevance to IT22638168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specific section/module/decision this supports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this paper does NOT cover that your project addresses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Technology/technique to reuse or reference</w:t>
            </w:r>
          </w:p>
        </w:tc>
        <w:tc>
          <w:tcPr>
            <w:tcW w:type="dxa" w:w="6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Concrete takeaway — a number, a method name, a design pattern</w:t>
            </w:r>
          </w:p>
        </w:tc>
      </w:tr>
    </w:tbl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0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Recommended format</w:t>
            </w:r>
          </w:p>
          <w:p>
            <w:r>
              <w:rPr>
                <w:sz w:val="20"/>
                <w:szCs w:val="20"/>
              </w:rPr>
              <w:t xml:space="preserve">Build this as a spreadsheet (one row per paper), not a Word document — you'll be sorting/filtering by topic and by relevance constantly during writing. Word is the right format only for the final literature review chapter itself.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F. Research Gap Strategy</w:t>
      </w:r>
    </w:p>
    <w:p>
      <w:pPr>
        <w:pStyle w:val="Heading2"/>
        <w:spacing w:after="120" w:before="240"/>
      </w:pPr>
      <w:r>
        <w:t xml:space="preserve">The funnel, applied consistently to every candidate gap</w:t>
      </w:r>
    </w:p>
    <w:p>
      <w:pPr>
        <w:spacing w:after="160"/>
      </w:pPr>
      <w:r>
        <w:t xml:space="preserve">For each gap area below: state what the existing research actually shows → identify the specific limitation the existing research itself admits or that becomes visible by comparing several papers → state the resulting unresolved problem → state the gap in one sentence → connect it to what IT22638168 specifically does about it. Do not skip from 'existing research' straight to 'gap' — the limitation step is what makes a gap claim defensible rather than asserted.</w:t>
      </w:r>
    </w:p>
    <w:p>
      <w:pPr>
        <w:pStyle w:val="Heading2"/>
        <w:spacing w:after="120" w:before="240"/>
      </w:pPr>
      <w:r>
        <w:t xml:space="preserve">Candidate gaps to investigate — not assumed to exist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Candidate gap</w:t>
            </w:r>
          </w:p>
        </w:tc>
        <w:tc>
          <w:tcPr>
            <w:tcW w:type="dxa" w:w="63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to actually check in the literature before claiming this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Sri Lankan pregnancy emotional-support gap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the Sri Lankan antenatal depression/anxiety prevalence studies actually report an absence of routine screening? (Already partly confirmed in earlier revision work — needs the remaining citations completed, not re-litigated from scratch.)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Sinhala/English bilingual support gap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specifically for any Sinhala-language mental-health or wellbeing chatbot, published or deployed, before asserting none exists — a negative claim needs an active, documented search, not just an absence of results you happened to find.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 multimodal mood detection gap (South Asia)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StandStrong (Nepal) is already known to exist and must be checked again for any newer related work — confirm it remains phone-sensor-based rather than chatbot-embedded facial+text fusion before repeating the narrowed Gap 2 claim.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+ text fusion specifically (as opposed to any multimodal fusion)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Multimodal fusion combining vision and NLP is well studied generally — check whether the gap claim needs to be about the *application domain* (perinatal chatbot) rather than the fusion technique itself, which is not novel in isolation.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Adaptive/mood-conditioned response in a pregnancy-specific chatbot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the perinatal-chatbot review literature (e.g. the Haga et al. 2021-style review, updated with anything since) specifically for whether any reviewed system adapts tone/response based on detected mood, not just whether any system exists.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On-device FER for privacy in a health app</w:t>
            </w:r>
          </w:p>
        </w:tc>
        <w:tc>
          <w:tcPr>
            <w:tcW w:type="dxa" w:w="6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more of a design-rationale citation than a gap claim — check whether on-device inference is established practice in health-app privacy literature, to support the choice rather than to claim novelty in doing it.</w:t>
            </w:r>
          </w:p>
        </w:tc>
      </w:tr>
    </w:tbl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E8D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Important discipline</w:t>
            </w:r>
          </w:p>
          <w:p>
            <w:r>
              <w:rPr>
                <w:sz w:val="20"/>
                <w:szCs w:val="20"/>
              </w:rPr>
              <w:t xml:space="preserve">Every gap claim in this project must survive the question 'what did you search to confirm nobody has done this?' A gap claim with no documented search behind it is exactly the kind of thing an examiner who knows the space will puncture in thirty seconds.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G. Behavioural Signal Decision — Dedicated Literature Track</w:t>
      </w:r>
    </w:p>
    <w:p>
      <w:pPr>
        <w:spacing w:after="160"/>
      </w:pPr>
      <w:r>
        <w:t xml:space="preserve">This track exists specifically to resolve the open architecture question with evidence, not to justify a decision already made. Run this track in parallel with the rest of the review, but resolve it before finalizing §3.2.6 methodology, since the fusion equation depends on its outcome.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50"/>
        <w:gridCol w:w="1500"/>
      </w:tblGrid>
      <w:tr>
        <w:trPr>
          <w:tblHeader/>
        </w:trPr>
        <w:tc>
          <w:tcPr>
            <w:tcW w:type="dxa" w:w="2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Sub-topic</w:t>
            </w:r>
          </w:p>
        </w:tc>
        <w:tc>
          <w:tcPr>
            <w:tcW w:type="dxa" w:w="54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Specific question to answer</w:t>
            </w:r>
          </w:p>
        </w:tc>
        <w:tc>
          <w:tcPr>
            <w:tcW w:type="dxa" w:w="15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Papers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Typing speed &amp; emotion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typing speed shown to predict mood at the individual/message level, or only as a population-level statistical association?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Response delay &amp; emotion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individual-vs-population distinction, specifically for inter-message response latency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Keystroke/behavioural affect detection generally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What's the best-reported accuracy for behaviour-only affect classification, and under what controlled conditions?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Individual-level vs. population-level inference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is the single most important question — does any paper validate behavioural signals as a real-time, per-instance classifier (with a reported accuracy/F1), or is all the evidence correlational at the group level?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covered by the above, cross-checked explicitly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Device/keyboard confounds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 any study controlled for device type, keyboard/IME, or connection speed when measuring typing-based affect signals?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Sinhala vs. English typing differences</w:t>
            </w:r>
          </w:p>
        </w:tc>
        <w:tc>
          <w:tcPr>
            <w:tcW w:type="dxa" w:w="5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 there any published baseline for Sinhala Unicode typing speed vs. English, independent of mood, that would explain away a false signal?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0–1 (may not exist — if it doesn't, that absence itself is a finding worth stating)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Decision rule — apply after collecting this track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at least two Tier 1/2 sources demonstrate individual-level, per-instance validated behavioural affect classification with a reported accuracy metric → KEEP in fusion, with that metric used to justify a defensible weight.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the evidence found is exclusively population-level/correlational, with no individual-level validated classifier → REMOVE from the fused mood score; retain as logged, unfused telemetry only, citing the population-level literature as rationale for why it's collected but not trusted as a per-message input.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evidence is genuinely mixed or thin either way → default to telemetry-only (option 2), since introducing an unvalidated signal into a mechanism that shapes responses to a vulnerable population carries more downside than the upside of keeping a weak signal in fusion.</w:t>
      </w:r>
    </w:p>
    <w:p>
      <w:pPr>
        <w:spacing w:after="160"/>
      </w:pPr>
      <w:r>
        <w:rPr>
          <w:i/>
          <w:iCs/>
        </w:rPr>
        <w:t xml:space="preserve">Given what's already known from earlier work on this project (Giannakakis et al. 2022 is population-level, not individual-level), the working expectation going in is that this track resolves toward option 2 or 3 — but the literature search should be run properly rather than treated as confirmatory.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H. Existing System / Competitor Review</w:t>
      </w:r>
    </w:p>
    <w:p>
      <w:pPr>
        <w:spacing w:after="160"/>
      </w:pPr>
      <w:r>
        <w:t xml:space="preserve">Target: 9–12 systems total, enough to populate a genuinely comparative matrix without padding it with near-duplicates.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800"/>
        <w:gridCol w:w="1150"/>
      </w:tblGrid>
      <w:tr>
        <w:trPr>
          <w:tblHeader/>
        </w:trPr>
        <w:tc>
          <w:tcPr>
            <w:tcW w:type="dxa" w:w="34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48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Systems to include</w:t>
            </w:r>
          </w:p>
        </w:tc>
        <w:tc>
          <w:tcPr>
            <w:tcW w:type="dxa" w:w="11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Perinatal/pregnancy-specific chatbots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dedicated pregnancy mental-health chatbot found (may be very few or none — that absence is itself part of Gap 1/2)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mental-health chatbots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Woebot, Wysa, and one more if a strong third candidate exists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pregnancy-tracking apps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Glow, BabyCenter, or regional equivalents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Sri Lankan telehealth platforms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oDoc, ChannellingLK, or similar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Passive-sensing maternal-health systems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StandStrong (Nepal) and any comparable South Asian/low-resource system found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Sinhala/low-resource-language digital health or NLP systems</w:t>
            </w:r>
          </w:p>
        </w:tc>
        <w:tc>
          <w:tcPr>
            <w:tcW w:type="dxa" w:w="4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Sinhala-language health or wellbeing app, even outside pregnancy specifically</w:t>
            </w:r>
          </w:p>
        </w:tc>
        <w:tc>
          <w:tcPr>
            <w:tcW w:type="dxa" w:w="11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Comparison matrix columns</w:t>
      </w:r>
    </w:p>
    <w:p>
      <w:pPr>
        <w:spacing w:after="160"/>
      </w:pPr>
      <w:r>
        <w:rPr>
          <w:i/>
          <w:iCs/>
        </w:rPr>
        <w:t xml:space="preserve">Language support · Pregnancy specialization · Mood/emotion detection (yes/no, modality) · Modalities used · Adaptive response (yes/no) · Privacy model (on-device vs. cloud) · Offline capability · Therapeutic content · Clinical/doctor integration.</w:t>
      </w:r>
    </w:p>
    <w:p>
      <w:pPr>
        <w:spacing w:after="160"/>
      </w:pPr>
      <w:r>
        <w:t xml:space="preserve">This table is what makes Gap 1–3 visible without you having to argue for them in prose — a mostly-empty column under 'Sinhala' and 'Adaptive response' across every row does the argument's work for you.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I. Literature Review Document Plan</w:t>
      </w:r>
    </w:p>
    <w:p>
      <w:pPr>
        <w:spacing w:after="160"/>
      </w:pPr>
      <w:r>
        <w:t xml:space="preserve">Six documents — not twenty. Each has a distinct job; merging any two would blur working material with final dissertation material, which makes both harder to maintain.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600"/>
        <w:gridCol w:w="1300"/>
        <w:gridCol w:w="1450"/>
      </w:tblGrid>
      <w:tr>
        <w:trPr>
          <w:tblHeader/>
        </w:trPr>
        <w:tc>
          <w:tcPr>
            <w:tcW w:type="dxa" w:w="19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21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6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Contains</w:t>
            </w:r>
          </w:p>
        </w:tc>
        <w:tc>
          <w:tcPr>
            <w:tcW w:type="dxa" w:w="130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1450"/>
            <w:shd w:fill="E8DFF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Literature Search &amp; Scope Plan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document — the roadmap itself, updated if scope changes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A–H content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Now, before searching begins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Paper Extraction Sheet (spreadsheet)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paper, using the Section E template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fields from Section E, for every paper screened (including rejects, marked as such)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Continuously, during search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Existing Systems Comparison Matrix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Section H table, fully populated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9–12 systems × 9 comparison columns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Section H's systems are identified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→ becomes a table directly reused in the Related Work chapter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Research Gap Matrix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Applies the Section F funnel per gap, with citations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row per candidate gap: existing research / limitation / unresolved problem / gap statement / how IT22638168 addresses it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extraction sheet has enough coverage per topic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→ source material for the Research Gap section of the final chapter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Behavioural Signal Decision Memo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Short, standalone record of the Section G track and its outcome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6 sub-questions, papers found, decision rule applied, final KEEP/REMOVE/TELEMETRY-ONLY decision with reasoning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Section G track is complete, before finalizing §3.2.6 methodology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→ decision gets cited in the final proposal/methodology, memo itself stays as your own audit trail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Final Literature Review (dissertation chapter)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actual written chapter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Synthesized prose following the Section A structure, drawing on documents 2–5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— after 1–5 are substantially complete</w:t>
            </w:r>
          </w:p>
        </w:tc>
        <w:tc>
          <w:tcPr>
            <w:tcW w:type="dxa" w:w="1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dissertation material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J. Workflow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Confirm/refine research questions per module — use Section B's "key questions" as the starting list; adjust only if a question turns out to be unanswerable or irrelevant once searching starts.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search keyword sets per topic (e.g. FER: "facial expression recognition head pose accuracy", "MobileNetV2 emotion classification"; Sinhala NLP: "Sinhala sentiment lexicon", "low-resource language sentiment analysis") — reuse the exact search terms that already worked earlier in this project where applicable.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Search and collect candidate papers against the Section C targets, logging every candidate (including rejects) into the Paper Extraction Sheet.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Screen each candidate against Section D's tier definitions; verify every source actually resolves to a real, checkable document before extraction — this step is not optional given this project's history.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Extract full detail (Section E template) for every paper that passes screening.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the Behavioural Signal track (Section G) in parallel with steps 3–5; produce the Decision Memo (Document 5) as soon as that track has enough coverage, since it gates the fusion methodology.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the Existing Systems Comparison Matrix (Document 3) once enough systems are identified — this can run concurrently with steps 3–5.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Once each topic has adequate coverage, apply the Section F funnel per candidate gap and build the Research Gap Matrix (Document 4).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Cross-check: does every gap claim in Document 4 map to a specific decision already made in the v2 architecture/methodology? If a gap doesn't connect to anything the system actually does, either the gap is misstated or the system is missing something — resolve the mismatch before writing.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Finalize the behavioural-signal architecture decision (fusion equation in §3.2.6) using the Decision Memo's outcome.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Draft the final Literature Review chapter (Document 6) following the Section A structure, drawing directly from Documents 2–5 rather than re-deriving arguments from memory.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Final verification pass: every citation in the chapter must trace back to a real row in the Extraction Sheet with a working DOI/link — no citation should exist in the final chapter that isn't backed by an extraction-sheet row.</w:t>
      </w:r>
    </w:p>
    <w:p>
      <w:r>
        <w:br w:type="page"/>
      </w:r>
    </w:p>
    <w:p>
      <w:pPr>
        <w:pStyle w:val="Heading1"/>
        <w:spacing w:after="160" w:before="340"/>
      </w:pPr>
      <w:r>
        <w:t xml:space="preserve">K. Final Deliverable — What You Should Have When This Phase Is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26–30 (or a defensible number between 18–40) fully extracted, verified papers in the Extraction Sheet, distributed roughly per the Section C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completed Research Gap Matrix with each gap claim traceable through the existing research → limitation → gap funnel, not asserted.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completed Existing Systems Comparison Matrix (9–12 systems) ready to drop into the Related Work chapter.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one-paragraph, citation-backed gap statement for each of Gap 1, 2, and 3 (or however many survive the F funnel — it's fine if one candidate gap doesn't hold up and gets dropped).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technology-justification paragraph for each major choice (MobileNetV2/TFLite, DistilBERT, the Sinhala lexicon approach, the fusion strategy) grounded in the extracted literature rather than in this conversation's reasoning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completed Behavioural Signal Decision Memo with a clear KEEP / REMOVE / TELEMETRY-ONLY outcome and the evidence behind it — this then updates §3.2.6 and the fusion weights in the proposal.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final architecture-justification statement: one paragraph per module explaining, with citations, why each component was chosen — this is what actually gets defended in the viva, and it should read as evidence-led rather than as a list of technologies.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complete Literature Review chapter following the Section A structure, ready to insert into the full proposal/dissertation at the appropriate section numbers.</w:t>
      </w:r>
    </w:p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E8D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One last check before this phase counts as done</w:t>
            </w:r>
          </w:p>
          <w:p>
            <w:r>
              <w:rPr>
                <w:sz w:val="20"/>
                <w:szCs w:val="20"/>
              </w:rPr>
              <w:t xml:space="preserve">Read the finished chapter once specifically hunting for any claim, number, or citation that isn't backed by a row in the Extraction Sheet. Given this project's documented history of fabricated references earlier in its development, this single pass is the highest-value five minutes in the entire literature review phase.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2026-08-17T22:13:34.362Z</dcterms:created>
  <dcterms:modified xsi:type="dcterms:W3CDTF">2026-08-17T22:13:34.379Z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