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b/>
          <w:bCs/>
          <w:sz w:val="40"/>
          <w:szCs w:val="40"/>
        </w:rPr>
        <w:t xml:space="preserve">Proposal Revision Package — v2</w:t>
      </w:r>
    </w:p>
    <w:p>
      <w:pPr>
        <w:spacing w:after="40"/>
        <w:jc w:val="center"/>
      </w:pPr>
      <w:r>
        <w:rPr>
          <w:color w:val="444444"/>
          <w:sz w:val="25"/>
          <w:szCs w:val="25"/>
        </w:rPr>
        <w:t xml:space="preserve">AI Chatbot with Mood Detection — FER Reinstated per Stakeholder Requirement</w:t>
      </w:r>
    </w:p>
    <w:p>
      <w:pPr>
        <w:spacing w:after="40"/>
        <w:jc w:val="center"/>
      </w:pPr>
      <w:r>
        <w:rPr>
          <w:color w:val="666666"/>
          <w:sz w:val="22"/>
          <w:szCs w:val="22"/>
        </w:rPr>
        <w:t xml:space="preserve">Pregnancy Support System (MaternaLink) — Project ID R26-IT-146</w:t>
      </w:r>
    </w:p>
    <w:p>
      <w:pPr>
        <w:spacing w:after="400"/>
        <w:jc w:val="center"/>
      </w:pPr>
      <w:r>
        <w:rPr>
          <w:color w:val="666666"/>
          <w:sz w:val="22"/>
          <w:szCs w:val="22"/>
        </w:rPr>
        <w:t xml:space="preserve">Livera S.D — IT22638168</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9350"/>
      </w:tblGrid>
      <w:tr>
        <w:tc>
          <w:tcPr>
            <w:tcW w:type="dxa" w:w="9350"/>
            <w:shd w:fill="F5F0E1" w:val="clear"/>
            <w:tcMar>
              <w:top w:type="dxa" w:w="140"/>
              <w:left w:type="dxa" w:w="180"/>
              <w:bottom w:type="dxa" w:w="140"/>
              <w:right w:type="dxa" w:w="180"/>
            </w:tcMar>
          </w:tcPr>
          <w:p>
            <w:pPr>
              <w:spacing w:after="60"/>
            </w:pPr>
            <w:r>
              <w:rPr>
                <w:b/>
                <w:bCs/>
                <w:sz w:val="20"/>
                <w:szCs w:val="20"/>
              </w:rPr>
              <w:t xml:space="preserve">How to use this document</w:t>
            </w:r>
          </w:p>
          <w:p>
            <w:r>
              <w:rPr>
                <w:sz w:val="20"/>
                <w:szCs w:val="20"/>
              </w:rPr>
              <w:t xml:space="preserve">This is v2 of the revision package, superseding the previous text-only version. It reinstates facial emotion recognition (FER) as a third mood-detection signal, per confirmed stakeholder requirement, while carrying forward the risk mitigations identified during the earlier simplification review (head-pose sensitivity, on-device privacy, consent flow). Merge into the original proposal report at the same section numbers as before: 1.2–1.3, 2, 3, 4, 8–9.</w:t>
            </w:r>
          </w:p>
        </w:tc>
      </w:tr>
    </w:tbl>
    <w:p>
      <w:r>
        <w:br w:type="page"/>
      </w:r>
    </w:p>
    <w:p>
      <w:pPr>
        <w:pStyle w:val="Heading1"/>
        <w:spacing w:after="160" w:before="320"/>
      </w:pPr>
      <w:r>
        <w:t xml:space="preserve">Summary of Changes from the Text-Only Revision</w:t>
      </w:r>
    </w:p>
    <w:p>
      <w:pPr>
        <w:spacing w:after="160"/>
      </w:pPr>
      <w:r>
        <w:t xml:space="preserve">Facial emotion recognition returns as a third mood signal alongside bilingual text sentiment and typing/response-delay behaviour. The known technical risk identified earlier — 2D FER accuracy degrading sharply at the downward head angle typical of phone use — is not solved by reinstating the model; it is carried forward as a stated, mitigated limitation rather than an unaddressed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50"/>
      </w:tblGrid>
      <w:tr>
        <w:trPr>
          <w:tblHeader/>
        </w:trPr>
        <w:tc>
          <w:tcPr>
            <w:tcW w:type="dxa" w:w="1500"/>
            <w:shd w:fill="E8DFF5" w:val="clear"/>
            <w:tcMar>
              <w:top w:type="dxa" w:w="80"/>
              <w:left w:type="dxa" w:w="100"/>
              <w:bottom w:type="dxa" w:w="80"/>
              <w:right w:type="dxa" w:w="100"/>
            </w:tcMar>
          </w:tcPr>
          <w:p>
            <w:r>
              <w:rPr>
                <w:b/>
                <w:bCs/>
                <w:sz w:val="19"/>
                <w:szCs w:val="19"/>
              </w:rPr>
              <w:t xml:space="preserve">Area</w:t>
            </w:r>
          </w:p>
        </w:tc>
        <w:tc>
          <w:tcPr>
            <w:tcW w:type="dxa" w:w="3800"/>
            <w:shd w:fill="E8DFF5" w:val="clear"/>
            <w:tcMar>
              <w:top w:type="dxa" w:w="80"/>
              <w:left w:type="dxa" w:w="100"/>
              <w:bottom w:type="dxa" w:w="80"/>
              <w:right w:type="dxa" w:w="100"/>
            </w:tcMar>
          </w:tcPr>
          <w:p>
            <w:r>
              <w:rPr>
                <w:b/>
                <w:bCs/>
                <w:sz w:val="19"/>
                <w:szCs w:val="19"/>
              </w:rPr>
              <w:t xml:space="preserve">Text-only revision</w:t>
            </w:r>
          </w:p>
        </w:tc>
        <w:tc>
          <w:tcPr>
            <w:tcW w:type="dxa" w:w="4050"/>
            <w:shd w:fill="E8DFF5" w:val="clear"/>
            <w:tcMar>
              <w:top w:type="dxa" w:w="80"/>
              <w:left w:type="dxa" w:w="100"/>
              <w:bottom w:type="dxa" w:w="80"/>
              <w:right w:type="dxa" w:w="100"/>
            </w:tcMar>
          </w:tcPr>
          <w:p>
            <w:r>
              <w:rPr>
                <w:b/>
                <w:bCs/>
                <w:sz w:val="19"/>
                <w:szCs w:val="19"/>
              </w:rPr>
              <w:t xml:space="preserve">v2 — FER reinstated</w:t>
            </w:r>
          </w:p>
        </w:tc>
      </w:tr>
      <w:tr>
        <w:tc>
          <w:tcPr>
            <w:tcW w:type="dxa" w:w="1500"/>
            <w:tcMar>
              <w:top w:type="dxa" w:w="80"/>
              <w:left w:type="dxa" w:w="100"/>
              <w:bottom w:type="dxa" w:w="80"/>
              <w:right w:type="dxa" w:w="100"/>
            </w:tcMar>
          </w:tcPr>
          <w:p>
            <w:r>
              <w:rPr>
                <w:b w:val="false"/>
                <w:bCs w:val="false"/>
                <w:sz w:val="19"/>
                <w:szCs w:val="19"/>
              </w:rPr>
              <w:t xml:space="preserve">Mood signals</w:t>
            </w:r>
          </w:p>
        </w:tc>
        <w:tc>
          <w:tcPr>
            <w:tcW w:type="dxa" w:w="3800"/>
            <w:tcMar>
              <w:top w:type="dxa" w:w="80"/>
              <w:left w:type="dxa" w:w="100"/>
              <w:bottom w:type="dxa" w:w="80"/>
              <w:right w:type="dxa" w:w="100"/>
            </w:tcMar>
          </w:tcPr>
          <w:p>
            <w:r>
              <w:rPr>
                <w:b w:val="false"/>
                <w:bCs w:val="false"/>
                <w:sz w:val="19"/>
                <w:szCs w:val="19"/>
              </w:rPr>
              <w:t xml:space="preserve">Bilingual sentiment + typing/delay (2 signals)</w:t>
            </w:r>
          </w:p>
        </w:tc>
        <w:tc>
          <w:tcPr>
            <w:tcW w:type="dxa" w:w="4050"/>
            <w:tcMar>
              <w:top w:type="dxa" w:w="80"/>
              <w:left w:type="dxa" w:w="100"/>
              <w:bottom w:type="dxa" w:w="80"/>
              <w:right w:type="dxa" w:w="100"/>
            </w:tcMar>
          </w:tcPr>
          <w:p>
            <w:r>
              <w:rPr>
                <w:b w:val="false"/>
                <w:bCs w:val="false"/>
                <w:sz w:val="19"/>
                <w:szCs w:val="19"/>
              </w:rPr>
              <w:t xml:space="preserve">Facial expression + bilingual sentiment + typing/delay (3 signals)</w:t>
            </w:r>
          </w:p>
        </w:tc>
      </w:tr>
      <w:tr>
        <w:tc>
          <w:tcPr>
            <w:tcW w:type="dxa" w:w="1500"/>
            <w:tcMar>
              <w:top w:type="dxa" w:w="80"/>
              <w:left w:type="dxa" w:w="100"/>
              <w:bottom w:type="dxa" w:w="80"/>
              <w:right w:type="dxa" w:w="100"/>
            </w:tcMar>
          </w:tcPr>
          <w:p>
            <w:r>
              <w:rPr>
                <w:b w:val="false"/>
                <w:bCs w:val="false"/>
                <w:sz w:val="19"/>
                <w:szCs w:val="19"/>
              </w:rPr>
              <w:t xml:space="preserve">Facial signal design</w:t>
            </w:r>
          </w:p>
        </w:tc>
        <w:tc>
          <w:tcPr>
            <w:tcW w:type="dxa" w:w="3800"/>
            <w:tcMar>
              <w:top w:type="dxa" w:w="80"/>
              <w:left w:type="dxa" w:w="100"/>
              <w:bottom w:type="dxa" w:w="80"/>
              <w:right w:type="dxa" w:w="100"/>
            </w:tcMar>
          </w:tcPr>
          <w:p>
            <w:r>
              <w:rPr>
                <w:b w:val="false"/>
                <w:bCs w:val="false"/>
                <w:sz w:val="19"/>
                <w:szCs w:val="19"/>
              </w:rPr>
              <w:t xml:space="preserve">N/A</w:t>
            </w:r>
          </w:p>
        </w:tc>
        <w:tc>
          <w:tcPr>
            <w:tcW w:type="dxa" w:w="4050"/>
            <w:tcMar>
              <w:top w:type="dxa" w:w="80"/>
              <w:left w:type="dxa" w:w="100"/>
              <w:bottom w:type="dxa" w:w="80"/>
              <w:right w:type="dxa" w:w="100"/>
            </w:tcMar>
          </w:tcPr>
          <w:p>
            <w:r>
              <w:rPr>
                <w:b w:val="false"/>
                <w:bCs w:val="false"/>
                <w:sz w:val="19"/>
                <w:szCs w:val="19"/>
              </w:rPr>
              <w:t xml:space="preserve">On-device TFLite inference; confidence-threshold filtering discards low-confidence (likely off-angle) frames; Exponential Moving Average (EMA) smooths per-frame noise before fusion</w:t>
            </w:r>
          </w:p>
        </w:tc>
      </w:tr>
      <w:tr>
        <w:tc>
          <w:tcPr>
            <w:tcW w:type="dxa" w:w="1500"/>
            <w:tcMar>
              <w:top w:type="dxa" w:w="80"/>
              <w:left w:type="dxa" w:w="100"/>
              <w:bottom w:type="dxa" w:w="80"/>
              <w:right w:type="dxa" w:w="100"/>
            </w:tcMar>
          </w:tcPr>
          <w:p>
            <w:r>
              <w:rPr>
                <w:b w:val="false"/>
                <w:bCs w:val="false"/>
                <w:sz w:val="19"/>
                <w:szCs w:val="19"/>
              </w:rPr>
              <w:t xml:space="preserve">Fusion weights</w:t>
            </w:r>
          </w:p>
        </w:tc>
        <w:tc>
          <w:tcPr>
            <w:tcW w:type="dxa" w:w="3800"/>
            <w:tcMar>
              <w:top w:type="dxa" w:w="80"/>
              <w:left w:type="dxa" w:w="100"/>
              <w:bottom w:type="dxa" w:w="80"/>
              <w:right w:type="dxa" w:w="100"/>
            </w:tcMar>
          </w:tcPr>
          <w:p>
            <w:r>
              <w:rPr>
                <w:b w:val="false"/>
                <w:bCs w:val="false"/>
                <w:sz w:val="19"/>
                <w:szCs w:val="19"/>
              </w:rPr>
              <w:t xml:space="preserve">Text 70% / Behaviour 30%</w:t>
            </w:r>
          </w:p>
        </w:tc>
        <w:tc>
          <w:tcPr>
            <w:tcW w:type="dxa" w:w="4050"/>
            <w:tcMar>
              <w:top w:type="dxa" w:w="80"/>
              <w:left w:type="dxa" w:w="100"/>
              <w:bottom w:type="dxa" w:w="80"/>
              <w:right w:type="dxa" w:w="100"/>
            </w:tcMar>
          </w:tcPr>
          <w:p>
            <w:r>
              <w:rPr>
                <w:b w:val="false"/>
                <w:bCs w:val="false"/>
                <w:sz w:val="19"/>
                <w:szCs w:val="19"/>
              </w:rPr>
              <w:t xml:space="preserve">Facial 45% / Text 40% / Behaviour 15% — initial values, empirically tuned in testing as before</w:t>
            </w:r>
          </w:p>
        </w:tc>
      </w:tr>
      <w:tr>
        <w:tc>
          <w:tcPr>
            <w:tcW w:type="dxa" w:w="1500"/>
            <w:tcMar>
              <w:top w:type="dxa" w:w="80"/>
              <w:left w:type="dxa" w:w="100"/>
              <w:bottom w:type="dxa" w:w="80"/>
              <w:right w:type="dxa" w:w="100"/>
            </w:tcMar>
          </w:tcPr>
          <w:p>
            <w:r>
              <w:rPr>
                <w:b w:val="false"/>
                <w:bCs w:val="false"/>
                <w:sz w:val="19"/>
                <w:szCs w:val="19"/>
              </w:rPr>
              <w:t xml:space="preserve">Datasets</w:t>
            </w:r>
          </w:p>
        </w:tc>
        <w:tc>
          <w:tcPr>
            <w:tcW w:type="dxa" w:w="3800"/>
            <w:tcMar>
              <w:top w:type="dxa" w:w="80"/>
              <w:left w:type="dxa" w:w="100"/>
              <w:bottom w:type="dxa" w:w="80"/>
              <w:right w:type="dxa" w:w="100"/>
            </w:tcMar>
          </w:tcPr>
          <w:p>
            <w:r>
              <w:rPr>
                <w:b w:val="false"/>
                <w:bCs w:val="false"/>
                <w:sz w:val="19"/>
                <w:szCs w:val="19"/>
              </w:rPr>
              <w:t xml:space="preserve">None required (no training)</w:t>
            </w:r>
          </w:p>
        </w:tc>
        <w:tc>
          <w:tcPr>
            <w:tcW w:type="dxa" w:w="4050"/>
            <w:tcMar>
              <w:top w:type="dxa" w:w="80"/>
              <w:left w:type="dxa" w:w="100"/>
              <w:bottom w:type="dxa" w:w="80"/>
              <w:right w:type="dxa" w:w="100"/>
            </w:tcMar>
          </w:tcPr>
          <w:p>
            <w:r>
              <w:rPr>
                <w:b w:val="false"/>
                <w:bCs w:val="false"/>
                <w:sz w:val="19"/>
                <w:szCs w:val="19"/>
              </w:rPr>
              <w:t xml:space="preserve">FER-2013 + AffectNet reinstated for MobileNetV2 transfer learning</w:t>
            </w:r>
          </w:p>
        </w:tc>
      </w:tr>
      <w:tr>
        <w:tc>
          <w:tcPr>
            <w:tcW w:type="dxa" w:w="1500"/>
            <w:tcMar>
              <w:top w:type="dxa" w:w="80"/>
              <w:left w:type="dxa" w:w="100"/>
              <w:bottom w:type="dxa" w:w="80"/>
              <w:right w:type="dxa" w:w="100"/>
            </w:tcMar>
          </w:tcPr>
          <w:p>
            <w:r>
              <w:rPr>
                <w:b w:val="false"/>
                <w:bCs w:val="false"/>
                <w:sz w:val="19"/>
                <w:szCs w:val="19"/>
              </w:rPr>
              <w:t xml:space="preserve">Tools</w:t>
            </w:r>
          </w:p>
        </w:tc>
        <w:tc>
          <w:tcPr>
            <w:tcW w:type="dxa" w:w="3800"/>
            <w:tcMar>
              <w:top w:type="dxa" w:w="80"/>
              <w:left w:type="dxa" w:w="100"/>
              <w:bottom w:type="dxa" w:w="80"/>
              <w:right w:type="dxa" w:w="100"/>
            </w:tcMar>
          </w:tcPr>
          <w:p>
            <w:r>
              <w:rPr>
                <w:b w:val="false"/>
                <w:bCs w:val="false"/>
                <w:sz w:val="19"/>
                <w:szCs w:val="19"/>
              </w:rPr>
              <w:t xml:space="preserve">Node.js-only stack</w:t>
            </w:r>
          </w:p>
        </w:tc>
        <w:tc>
          <w:tcPr>
            <w:tcW w:type="dxa" w:w="4050"/>
            <w:tcMar>
              <w:top w:type="dxa" w:w="80"/>
              <w:left w:type="dxa" w:w="100"/>
              <w:bottom w:type="dxa" w:w="80"/>
              <w:right w:type="dxa" w:w="100"/>
            </w:tcMar>
          </w:tcPr>
          <w:p>
            <w:r>
              <w:rPr>
                <w:b w:val="false"/>
                <w:bCs w:val="false"/>
                <w:sz w:val="19"/>
                <w:szCs w:val="19"/>
              </w:rPr>
              <w:t xml:space="preserve">Adds TensorFlow Lite, Python + Keras (training only, not runtime), Expo Camera API, Google Colab Pro</w:t>
            </w:r>
          </w:p>
        </w:tc>
      </w:tr>
      <w:tr>
        <w:tc>
          <w:tcPr>
            <w:tcW w:type="dxa" w:w="1500"/>
            <w:tcMar>
              <w:top w:type="dxa" w:w="80"/>
              <w:left w:type="dxa" w:w="100"/>
              <w:bottom w:type="dxa" w:w="80"/>
              <w:right w:type="dxa" w:w="100"/>
            </w:tcMar>
          </w:tcPr>
          <w:p>
            <w:r>
              <w:rPr>
                <w:b w:val="false"/>
                <w:bCs w:val="false"/>
                <w:sz w:val="19"/>
                <w:szCs w:val="19"/>
              </w:rPr>
              <w:t xml:space="preserve">Privacy/consent</w:t>
            </w:r>
          </w:p>
        </w:tc>
        <w:tc>
          <w:tcPr>
            <w:tcW w:type="dxa" w:w="3800"/>
            <w:tcMar>
              <w:top w:type="dxa" w:w="80"/>
              <w:left w:type="dxa" w:w="100"/>
              <w:bottom w:type="dxa" w:w="80"/>
              <w:right w:type="dxa" w:w="100"/>
            </w:tcMar>
          </w:tcPr>
          <w:p>
            <w:r>
              <w:rPr>
                <w:b w:val="false"/>
                <w:bCs w:val="false"/>
                <w:sz w:val="19"/>
                <w:szCs w:val="19"/>
              </w:rPr>
              <w:t xml:space="preserve">N/A</w:t>
            </w:r>
          </w:p>
        </w:tc>
        <w:tc>
          <w:tcPr>
            <w:tcW w:type="dxa" w:w="4050"/>
            <w:tcMar>
              <w:top w:type="dxa" w:w="80"/>
              <w:left w:type="dxa" w:w="100"/>
              <w:bottom w:type="dxa" w:w="80"/>
              <w:right w:type="dxa" w:w="100"/>
            </w:tcMar>
          </w:tcPr>
          <w:p>
            <w:r>
              <w:rPr>
                <w:b w:val="false"/>
                <w:bCs w:val="false"/>
                <w:sz w:val="19"/>
                <w:szCs w:val="19"/>
              </w:rPr>
              <w:t xml:space="preserve">Bilingual consent notice before first camera use; one-tap opt-out (falls back to text + behaviour signals only); raw frames discarded immediately after inference, never stored or transmitted</w:t>
            </w:r>
          </w:p>
        </w:tc>
      </w:tr>
      <w:tr>
        <w:tc>
          <w:tcPr>
            <w:tcW w:type="dxa" w:w="1500"/>
            <w:tcMar>
              <w:top w:type="dxa" w:w="80"/>
              <w:left w:type="dxa" w:w="100"/>
              <w:bottom w:type="dxa" w:w="80"/>
              <w:right w:type="dxa" w:w="100"/>
            </w:tcMar>
          </w:tcPr>
          <w:p>
            <w:r>
              <w:rPr>
                <w:b w:val="false"/>
                <w:bCs w:val="false"/>
                <w:sz w:val="19"/>
                <w:szCs w:val="19"/>
              </w:rPr>
              <w:t xml:space="preserve">Risk register</w:t>
            </w:r>
          </w:p>
        </w:tc>
        <w:tc>
          <w:tcPr>
            <w:tcW w:type="dxa" w:w="3800"/>
            <w:tcMar>
              <w:top w:type="dxa" w:w="80"/>
              <w:left w:type="dxa" w:w="100"/>
              <w:bottom w:type="dxa" w:w="80"/>
              <w:right w:type="dxa" w:w="100"/>
            </w:tcMar>
          </w:tcPr>
          <w:p>
            <w:r>
              <w:rPr>
                <w:b w:val="false"/>
                <w:bCs w:val="false"/>
                <w:sz w:val="19"/>
                <w:szCs w:val="19"/>
              </w:rPr>
              <w:t xml:space="preserve">R1, R6, R9 removed</w:t>
            </w:r>
          </w:p>
        </w:tc>
        <w:tc>
          <w:tcPr>
            <w:tcW w:type="dxa" w:w="4050"/>
            <w:tcMar>
              <w:top w:type="dxa" w:w="80"/>
              <w:left w:type="dxa" w:w="100"/>
              <w:bottom w:type="dxa" w:w="80"/>
              <w:right w:type="dxa" w:w="100"/>
            </w:tcMar>
          </w:tcPr>
          <w:p>
            <w:r>
              <w:rPr>
                <w:b w:val="false"/>
                <w:bCs w:val="false"/>
                <w:sz w:val="19"/>
                <w:szCs w:val="19"/>
              </w:rPr>
              <w:t xml:space="preserve">R1 (FER accuracy), R6 (camera privacy), R9 (skin-tone bias) reinstated, each with a stated mitigation rather than left open</w:t>
            </w:r>
          </w:p>
        </w:tc>
      </w:tr>
      <w:tr>
        <w:tc>
          <w:tcPr>
            <w:tcW w:type="dxa" w:w="1500"/>
            <w:tcMar>
              <w:top w:type="dxa" w:w="80"/>
              <w:left w:type="dxa" w:w="100"/>
              <w:bottom w:type="dxa" w:w="80"/>
              <w:right w:type="dxa" w:w="100"/>
            </w:tcMar>
          </w:tcPr>
          <w:p>
            <w:r>
              <w:rPr>
                <w:b w:val="false"/>
                <w:bCs w:val="false"/>
                <w:sz w:val="19"/>
                <w:szCs w:val="19"/>
              </w:rPr>
              <w:t xml:space="preserve">WBS</w:t>
            </w:r>
          </w:p>
        </w:tc>
        <w:tc>
          <w:tcPr>
            <w:tcW w:type="dxa" w:w="3800"/>
            <w:tcMar>
              <w:top w:type="dxa" w:w="80"/>
              <w:left w:type="dxa" w:w="100"/>
              <w:bottom w:type="dxa" w:w="80"/>
              <w:right w:type="dxa" w:w="100"/>
            </w:tcMar>
          </w:tcPr>
          <w:p>
            <w:r>
              <w:rPr>
                <w:b w:val="false"/>
                <w:bCs w:val="false"/>
                <w:sz w:val="19"/>
                <w:szCs w:val="19"/>
              </w:rPr>
              <w:t xml:space="preserve">10 tasks</w:t>
            </w:r>
          </w:p>
        </w:tc>
        <w:tc>
          <w:tcPr>
            <w:tcW w:type="dxa" w:w="4050"/>
            <w:tcMar>
              <w:top w:type="dxa" w:w="80"/>
              <w:left w:type="dxa" w:w="100"/>
              <w:bottom w:type="dxa" w:w="80"/>
              <w:right w:type="dxa" w:w="100"/>
            </w:tcMar>
          </w:tcPr>
          <w:p>
            <w:r>
              <w:rPr>
                <w:b w:val="false"/>
                <w:bCs w:val="false"/>
                <w:sz w:val="19"/>
                <w:szCs w:val="19"/>
              </w:rPr>
              <w:t xml:space="preserve">12 tasks — FER dataset prep and model training restored as T3–T4</w:t>
            </w:r>
          </w:p>
        </w:tc>
      </w:tr>
      <w:tr>
        <w:tc>
          <w:tcPr>
            <w:tcW w:type="dxa" w:w="1500"/>
            <w:tcMar>
              <w:top w:type="dxa" w:w="80"/>
              <w:left w:type="dxa" w:w="100"/>
              <w:bottom w:type="dxa" w:w="80"/>
              <w:right w:type="dxa" w:w="100"/>
            </w:tcMar>
          </w:tcPr>
          <w:p>
            <w:r>
              <w:rPr>
                <w:b w:val="false"/>
                <w:bCs w:val="false"/>
                <w:sz w:val="19"/>
                <w:szCs w:val="19"/>
              </w:rPr>
              <w:t xml:space="preserve">Budget</w:t>
            </w:r>
          </w:p>
        </w:tc>
        <w:tc>
          <w:tcPr>
            <w:tcW w:type="dxa" w:w="3800"/>
            <w:tcMar>
              <w:top w:type="dxa" w:w="80"/>
              <w:left w:type="dxa" w:w="100"/>
              <w:bottom w:type="dxa" w:w="80"/>
              <w:right w:type="dxa" w:w="100"/>
            </w:tcMar>
          </w:tcPr>
          <w:p>
            <w:r>
              <w:rPr>
                <w:b w:val="false"/>
                <w:bCs w:val="false"/>
                <w:sz w:val="19"/>
                <w:szCs w:val="19"/>
              </w:rPr>
              <w:t xml:space="preserve">~LKR 36,500 (Colab Pro removed)</w:t>
            </w:r>
          </w:p>
        </w:tc>
        <w:tc>
          <w:tcPr>
            <w:tcW w:type="dxa" w:w="4050"/>
            <w:tcMar>
              <w:top w:type="dxa" w:w="80"/>
              <w:left w:type="dxa" w:w="100"/>
              <w:bottom w:type="dxa" w:w="80"/>
              <w:right w:type="dxa" w:w="100"/>
            </w:tcMar>
          </w:tcPr>
          <w:p>
            <w:r>
              <w:rPr>
                <w:b w:val="false"/>
                <w:bCs w:val="false"/>
                <w:sz w:val="19"/>
                <w:szCs w:val="19"/>
              </w:rPr>
              <w:t xml:space="preserve">~LKR 44,000 (Colab Pro reinstated for training compute)</w:t>
            </w:r>
          </w:p>
        </w:tc>
      </w:tr>
    </w:tbl>
    <w:p>
      <w:pPr>
        <w:spacing w:after="160"/>
      </w:pPr>
      <w:r>
        <w:t xml:space="preserve"/>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9350"/>
      </w:tblGrid>
      <w:tr>
        <w:tc>
          <w:tcPr>
            <w:tcW w:type="dxa" w:w="9350"/>
            <w:shd w:fill="FFE8D6" w:val="clear"/>
            <w:tcMar>
              <w:top w:type="dxa" w:w="140"/>
              <w:left w:type="dxa" w:w="180"/>
              <w:bottom w:type="dxa" w:w="140"/>
              <w:right w:type="dxa" w:w="180"/>
            </w:tcMar>
          </w:tcPr>
          <w:p>
            <w:pPr>
              <w:spacing w:after="60"/>
            </w:pPr>
            <w:r>
              <w:rPr>
                <w:b/>
                <w:bCs/>
                <w:sz w:val="20"/>
                <w:szCs w:val="20"/>
              </w:rPr>
              <w:t xml:space="preserve">Note on the earlier head-pose concern</w:t>
            </w:r>
          </w:p>
          <w:p>
            <w:r>
              <w:rPr>
                <w:sz w:val="20"/>
                <w:szCs w:val="20"/>
              </w:rPr>
              <w:t xml:space="preserve">This is a real, literature-confirmed accuracy risk for 2D FER systems at non-frontal angles, not a hypothetical. Reinstating FER does not remove that risk — it means the proposal now needs to name it explicitly and show a mitigation, which Sections 3.2.2 and Appendix D (risk R1) below do. An examiner is more likely to accept a known limitation that is measured and mitigated than one that is quietly omitted.</w:t>
            </w:r>
          </w:p>
        </w:tc>
      </w:tr>
    </w:tbl>
    <w:p>
      <w:r>
        <w:br w:type="page"/>
      </w:r>
    </w:p>
    <w:p>
      <w:pPr>
        <w:pStyle w:val="Heading1"/>
        <w:spacing w:after="160" w:before="320"/>
      </w:pPr>
      <w:r>
        <w:t xml:space="preserve">2. Objective (v2)</w:t>
      </w:r>
    </w:p>
    <w:p>
      <w:pPr>
        <w:pStyle w:val="Heading2"/>
        <w:spacing w:after="120" w:before="240"/>
      </w:pPr>
      <w:r>
        <w:t xml:space="preserve">2.1 Main Objective</w:t>
      </w:r>
    </w:p>
    <w:p>
      <w:pPr>
        <w:spacing w:after="160"/>
      </w:pPr>
      <w:r>
        <w:t xml:space="preserve">To design and build an AI-powered chatbot module within the MaternaLink pregnancy support application that tracks the emotional wellbeing of pregnant women in Sri Lanka in real time through on-device facial expression recognition, bilingual (Sinhala/English) text sentiment analysis, and passive typing-behaviour signals, responds in Sinhala and English with conversation that adjusts to how she is feeling, and provides culturally appropriate therapeutic music recommendations, with all chat history and content stored locally for full offline access.</w:t>
      </w:r>
    </w:p>
    <w:p>
      <w:pPr>
        <w:pStyle w:val="Heading2"/>
        <w:spacing w:after="120" w:before="240"/>
      </w:pPr>
      <w:r>
        <w:t xml:space="preserve">2.2 Specific Objectives</w:t>
      </w:r>
    </w:p>
    <w:p>
      <w:pPr>
        <w:pStyle w:val="Heading3"/>
        <w:spacing w:after="100" w:before="200"/>
      </w:pPr>
      <w:r>
        <w:t xml:space="preserve">Objective 1 — Bilingual Chatbot Interface</w:t>
      </w:r>
    </w:p>
    <w:p>
      <w:pPr>
        <w:spacing w:after="160"/>
      </w:pPr>
      <w:r>
        <w:t xml:space="preserve">Unchanged: a chatbot screen in Sinhala Unicode and English, warm and culturally appropriate in tone, reviewed by a Sinhala language consultant.</w:t>
      </w:r>
    </w:p>
    <w:p>
      <w:pPr>
        <w:pStyle w:val="Heading3"/>
        <w:spacing w:after="100" w:before="200"/>
      </w:pPr>
      <w:r>
        <w:t xml:space="preserve">Objective 2 — Mood Detection Module</w:t>
      </w:r>
    </w:p>
    <w:p>
      <w:pPr>
        <w:spacing w:after="160"/>
      </w:pPr>
      <w:r>
        <w:t xml:space="preserve">Implement three passive mood signals: (a) on-device facial expression recognition via a MobileNetV2 transfer-learning model fine-tuned on FER-2013 and AffectNet, exported to TFLite, with confidence-threshold filtering and Exponential Moving Average smoothing applied before the signal enters fusion; (b) bilingual text sentiment — a self-hosted DistilBERT transformer for English, a lexicon-based classifier for Sinhala; (c) typing-speed and response-delay signals from message timestamps. No signal requires deliberate input from the user.</w:t>
      </w:r>
    </w:p>
    <w:p>
      <w:pPr>
        <w:pStyle w:val="Heading3"/>
        <w:spacing w:after="100" w:before="200"/>
      </w:pPr>
      <w:r>
        <w:t xml:space="preserve">Objective 3 — Mood Fusion and Adaptive Response Engine</w:t>
      </w:r>
    </w:p>
    <w:p>
      <w:pPr>
        <w:spacing w:after="160"/>
      </w:pPr>
      <w:r>
        <w:t xml:space="preserve">Combine all three signals into a single mood score (facial 45% / text 40% / behaviour 15%, tuned empirically during testing). Inject this into the chatbot's system prompt so tone adjusts automatically, and trigger the music recommendation when a distress threshold is crossed.</w:t>
      </w:r>
    </w:p>
    <w:p>
      <w:pPr>
        <w:pStyle w:val="Heading3"/>
        <w:spacing w:after="100" w:before="200"/>
      </w:pPr>
      <w:r>
        <w:t xml:space="preserve">Objective 4 — Offline Data Management</w:t>
      </w:r>
    </w:p>
    <w:p>
      <w:pPr>
        <w:spacing w:after="160"/>
      </w:pPr>
      <w:r>
        <w:t xml:space="preserve">Unchanged: local chat history and music via AsyncStorage, plus a standalone JSON mood-history export for the doctor-facing MaternaLink component.</w:t>
      </w:r>
    </w:p>
    <w:p>
      <w:r>
        <w:br w:type="page"/>
      </w:r>
    </w:p>
    <w:p>
      <w:pPr>
        <w:pStyle w:val="Heading1"/>
        <w:spacing w:after="160" w:before="320"/>
      </w:pPr>
      <w:r>
        <w:t xml:space="preserve">3. Methodology (v2)</w:t>
      </w:r>
    </w:p>
    <w:p>
      <w:pPr>
        <w:pStyle w:val="Heading2"/>
        <w:spacing w:after="120" w:before="240"/>
      </w:pPr>
      <w:r>
        <w:t xml:space="preserve">3.1 Research Approach</w:t>
      </w:r>
    </w:p>
    <w:p>
      <w:pPr>
        <w:spacing w:after="160"/>
      </w:pPr>
      <w:r>
        <w:t xml:space="preserve">Design Science Research, unchanged. Reinstating FER returns the component to three independently-risky subsystems; the WBS (Section 8) reallocates time accordingly, and the evaluation plan (Section 3.5) measures the facial signal's real-world accuracy explicitly rather than assuming it.</w:t>
      </w:r>
    </w:p>
    <w:p>
      <w:pPr>
        <w:pStyle w:val="Heading2"/>
        <w:spacing w:after="120" w:before="240"/>
      </w:pPr>
      <w:r>
        <w:t xml:space="preserve">3.2 Technical Approach</w:t>
      </w:r>
    </w:p>
    <w:p>
      <w:pPr>
        <w:pStyle w:val="Heading3"/>
        <w:spacing w:after="100" w:before="200"/>
      </w:pPr>
      <w:r>
        <w:t xml:space="preserve">3.2.1 The Bilingual Chatbot Interface</w:t>
      </w:r>
    </w:p>
    <w:p>
      <w:pPr>
        <w:spacing w:after="160"/>
      </w:pPr>
      <w:r>
        <w:t xml:space="preserve">Unchanged from the previous revision: React Native (Expo) chat screen with Sinhala Unicode and English input.</w:t>
      </w:r>
    </w:p>
    <w:p>
      <w:pPr>
        <w:pStyle w:val="Heading3"/>
        <w:spacing w:after="100" w:before="200"/>
      </w:pPr>
      <w:r>
        <w:t xml:space="preserve">3.2.2 Facial Emotion Recognition (Reinstated)</w:t>
      </w:r>
    </w:p>
    <w:p>
      <w:pPr>
        <w:spacing w:after="160"/>
      </w:pPr>
      <w:r>
        <w:t xml:space="preserve">Every 30–40 seconds during an active chat session, the Expo Camera API captures a single front-camera frame, resized to 48×48 pixels, converted to greyscale, and normalised entirely on-device. The frame is passed through a MobileNetV2 model, pretrained on ImageNet and fine-tuned on FER-2013 and AffectNet, exported to TensorFlow Lite with a 3-class output (calm / mildly distressed / significantly distressed).</w:t>
      </w:r>
    </w:p>
    <w:p>
      <w:pPr>
        <w:spacing w:after="160"/>
      </w:pPr>
      <w:r>
        <w:t xml:space="preserve">Two mitigations are applied to the known head-pose accuracy risk (a downward-angled phone-holding pose degrades 2D FER accuracy — this is a documented limitation of 2D facial expression systems, not specific to this implementation):</w:t>
      </w:r>
    </w:p>
    <w:p>
      <w:pPr>
        <w:pStyle w:val="ListParagraph"/>
        <w:numPr>
          <w:ilvl w:val="0"/>
          <w:numId w:val="2"/>
        </w:numPr>
        <w:spacing w:after="80"/>
      </w:pPr>
      <w:r>
        <w:t xml:space="preserve">Confidence-threshold filtering: frames where the model's top-class confidence falls below a set threshold are discarded rather than passed to fusion, on the basis that low confidence is often a symptom of a poor viewing angle rather than genuine ambiguity of expression.</w:t>
      </w:r>
    </w:p>
    <w:p>
      <w:pPr>
        <w:pStyle w:val="ListParagraph"/>
        <w:numPr>
          <w:ilvl w:val="0"/>
          <w:numId w:val="2"/>
        </w:numPr>
        <w:spacing w:after="80"/>
      </w:pPr>
      <w:r>
        <w:t xml:space="preserve">Temporal smoothing via Exponential Moving Average (EMA): smoothed_score = α × current_frame_score + (1 − α) × previous_smoothed_score (α ≈ 0.3–0.4). This prevents a single noisy or misclassified frame from causing a visible jump in the chatbot's tone, and is the 'soft average' behaviour specified in the original stakeholder requirement.</w:t>
      </w:r>
    </w:p>
    <w:p>
      <w:pPr>
        <w:spacing w:after="160"/>
      </w:pPr>
      <w:r>
        <w:t xml:space="preserve">The raw camera frame is discarded immediately after inference; it is never stored on-device or transmitted. This is stated explicitly in the bilingual consent notice shown before first use, alongside a one-tap toggle to disable camera access, in which case the system continues operating on text and behavioural signals only (Objective 2's other two components are unaffected by this toggle).</w:t>
      </w:r>
    </w:p>
    <w:p>
      <w:pPr>
        <w:pStyle w:val="Heading3"/>
        <w:spacing w:after="100" w:before="200"/>
      </w:pPr>
      <w:r>
        <w:t xml:space="preserve">3.2.3 Mood Detection — English</w:t>
      </w:r>
    </w:p>
    <w:p>
      <w:pPr>
        <w:spacing w:after="160"/>
      </w:pPr>
      <w:r>
        <w:t xml:space="preserve">Unchanged from the previous revision: Xenova/distilbert-base-uncased-finetuned-sst-2-english via Transformers.js, self-hosted in the Node.js backend (Apache-2.0 licence, quantized to ~67MB). See the previous revision package for the full comparison against a lexicon-based scorer, a larger tweet-trained transformer, and single-call LLM classification, all of which still hold.</w:t>
      </w:r>
    </w:p>
    <w:p>
      <w:pPr>
        <w:pStyle w:val="Heading3"/>
        <w:spacing w:after="100" w:before="200"/>
      </w:pPr>
      <w:r>
        <w:t xml:space="preserve">3.2.4 Mood Detection — Sinhala</w:t>
      </w:r>
    </w:p>
    <w:p>
      <w:pPr>
        <w:spacing w:after="160"/>
      </w:pPr>
      <w:r>
        <w:t xml:space="preserve">Unchanged: lexicon-based, via the sentiment npm package's registerLanguage() extension (MIT licence) with an original ~150–250 word pregnancy-domain vocabulary, informed by Chathuranga, Lorensuhewa &amp; Kalyani (2019).</w:t>
      </w:r>
    </w:p>
    <w:p>
      <w:pPr>
        <w:pStyle w:val="Heading3"/>
        <w:spacing w:after="100" w:before="200"/>
      </w:pPr>
      <w:r>
        <w:t xml:space="preserve">3.2.5 Behavioural Signals</w:t>
      </w:r>
    </w:p>
    <w:p>
      <w:pPr>
        <w:spacing w:after="160"/>
      </w:pPr>
      <w:r>
        <w:t xml:space="preserve">Unchanged: typing speed and response delay from existing message timestamps.</w:t>
      </w:r>
    </w:p>
    <w:p>
      <w:pPr>
        <w:pStyle w:val="Heading3"/>
        <w:spacing w:after="100" w:before="200"/>
      </w:pPr>
      <w:r>
        <w:t xml:space="preserve">3.2.6 Mood Fusion Engine</w:t>
      </w:r>
    </w:p>
    <w:p>
      <w:pPr>
        <w:spacing w:after="160"/>
      </w:pPr>
      <w:r>
        <w:t xml:space="preserve">With three signals reinstated, the fusion layer combines facial expression (45%), text sentiment (40%), and behavioural signals (15%) into a single 0–100 mood score. The facial weight is set below the original proposal's 50% specifically because the head-pose literature gives reason to trust it somewhat less than a frontal-assumption design would; all three weights are initial values, tuned empirically against self-report agreement during testing (Section 3.5).</w:t>
      </w:r>
    </w:p>
    <w:p>
      <w:pPr>
        <w:pStyle w:val="Heading3"/>
        <w:spacing w:after="100" w:before="200"/>
      </w:pPr>
      <w:r>
        <w:t xml:space="preserve">3.2.7 Therapeutic Content and Offline Storage</w:t>
      </w:r>
    </w:p>
    <w:p>
      <w:pPr>
        <w:spacing w:after="160"/>
      </w:pPr>
      <w:r>
        <w:t xml:space="preserve">Unchanged from the previous revision: a fixed set of ~10 bundled royalty-free tracks, mood-mapped by lookup table, with chat history and saved tracks stored in AsyncStorage for full offline access.</w:t>
      </w:r>
    </w:p>
    <w:p>
      <w:pPr>
        <w:pStyle w:val="Heading2"/>
        <w:spacing w:after="120" w:before="240"/>
      </w:pPr>
      <w:r>
        <w:t xml:space="preserve">3.3 Tools and Platforms (v2)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550"/>
        <w:gridCol w:w="1800"/>
      </w:tblGrid>
      <w:tr>
        <w:trPr>
          <w:tblHeader/>
        </w:trPr>
        <w:tc>
          <w:tcPr>
            <w:tcW w:type="dxa" w:w="3000"/>
            <w:shd w:fill="E8DFF5" w:val="clear"/>
            <w:tcMar>
              <w:top w:type="dxa" w:w="80"/>
              <w:left w:type="dxa" w:w="100"/>
              <w:bottom w:type="dxa" w:w="80"/>
              <w:right w:type="dxa" w:w="100"/>
            </w:tcMar>
          </w:tcPr>
          <w:p>
            <w:r>
              <w:rPr>
                <w:b/>
                <w:bCs/>
                <w:sz w:val="19"/>
                <w:szCs w:val="19"/>
              </w:rPr>
              <w:t xml:space="preserve">Tool</w:t>
            </w:r>
          </w:p>
        </w:tc>
        <w:tc>
          <w:tcPr>
            <w:tcW w:type="dxa" w:w="4550"/>
            <w:shd w:fill="E8DFF5" w:val="clear"/>
            <w:tcMar>
              <w:top w:type="dxa" w:w="80"/>
              <w:left w:type="dxa" w:w="100"/>
              <w:bottom w:type="dxa" w:w="80"/>
              <w:right w:type="dxa" w:w="100"/>
            </w:tcMar>
          </w:tcPr>
          <w:p>
            <w:r>
              <w:rPr>
                <w:b/>
                <w:bCs/>
                <w:sz w:val="19"/>
                <w:szCs w:val="19"/>
              </w:rPr>
              <w:t xml:space="preserve">Purpose</w:t>
            </w:r>
          </w:p>
        </w:tc>
        <w:tc>
          <w:tcPr>
            <w:tcW w:type="dxa" w:w="1800"/>
            <w:shd w:fill="E8DFF5" w:val="clear"/>
            <w:tcMar>
              <w:top w:type="dxa" w:w="80"/>
              <w:left w:type="dxa" w:w="100"/>
              <w:bottom w:type="dxa" w:w="80"/>
              <w:right w:type="dxa" w:w="100"/>
            </w:tcMar>
          </w:tcPr>
          <w:p>
            <w:r>
              <w:rPr>
                <w:b/>
                <w:bCs/>
                <w:sz w:val="19"/>
                <w:szCs w:val="19"/>
              </w:rPr>
              <w:t xml:space="preserve">Licence</w:t>
            </w:r>
          </w:p>
        </w:tc>
      </w:tr>
      <w:tr>
        <w:tc>
          <w:tcPr>
            <w:tcW w:type="dxa" w:w="3000"/>
            <w:tcMar>
              <w:top w:type="dxa" w:w="80"/>
              <w:left w:type="dxa" w:w="100"/>
              <w:bottom w:type="dxa" w:w="80"/>
              <w:right w:type="dxa" w:w="100"/>
            </w:tcMar>
          </w:tcPr>
          <w:p>
            <w:r>
              <w:rPr>
                <w:b w:val="false"/>
                <w:bCs w:val="false"/>
                <w:sz w:val="19"/>
                <w:szCs w:val="19"/>
              </w:rPr>
              <w:t xml:space="preserve">React Native (Expo)</w:t>
            </w:r>
          </w:p>
        </w:tc>
        <w:tc>
          <w:tcPr>
            <w:tcW w:type="dxa" w:w="4550"/>
            <w:tcMar>
              <w:top w:type="dxa" w:w="80"/>
              <w:left w:type="dxa" w:w="100"/>
              <w:bottom w:type="dxa" w:w="80"/>
              <w:right w:type="dxa" w:w="100"/>
            </w:tcMar>
          </w:tcPr>
          <w:p>
            <w:r>
              <w:rPr>
                <w:b w:val="false"/>
                <w:bCs w:val="false"/>
                <w:sz w:val="19"/>
                <w:szCs w:val="19"/>
              </w:rPr>
              <w:t xml:space="preserve">Bilingual chatbot UI + front camera capture</w:t>
            </w:r>
          </w:p>
        </w:tc>
        <w:tc>
          <w:tcPr>
            <w:tcW w:type="dxa" w:w="1800"/>
            <w:tcMar>
              <w:top w:type="dxa" w:w="80"/>
              <w:left w:type="dxa" w:w="100"/>
              <w:bottom w:type="dxa" w:w="80"/>
              <w:right w:type="dxa" w:w="100"/>
            </w:tcMar>
          </w:tcPr>
          <w:p>
            <w:r>
              <w:rPr>
                <w:b w:val="false"/>
                <w:bCs w:val="false"/>
                <w:sz w:val="19"/>
                <w:szCs w:val="19"/>
              </w:rPr>
              <w:t xml:space="preserve">MIT</w:t>
            </w:r>
          </w:p>
        </w:tc>
      </w:tr>
      <w:tr>
        <w:tc>
          <w:tcPr>
            <w:tcW w:type="dxa" w:w="3000"/>
            <w:tcMar>
              <w:top w:type="dxa" w:w="80"/>
              <w:left w:type="dxa" w:w="100"/>
              <w:bottom w:type="dxa" w:w="80"/>
              <w:right w:type="dxa" w:w="100"/>
            </w:tcMar>
          </w:tcPr>
          <w:p>
            <w:r>
              <w:rPr>
                <w:b w:val="false"/>
                <w:bCs w:val="false"/>
                <w:sz w:val="19"/>
                <w:szCs w:val="19"/>
              </w:rPr>
              <w:t xml:space="preserve">Expo Camera API</w:t>
            </w:r>
          </w:p>
        </w:tc>
        <w:tc>
          <w:tcPr>
            <w:tcW w:type="dxa" w:w="4550"/>
            <w:tcMar>
              <w:top w:type="dxa" w:w="80"/>
              <w:left w:type="dxa" w:w="100"/>
              <w:bottom w:type="dxa" w:w="80"/>
              <w:right w:type="dxa" w:w="100"/>
            </w:tcMar>
          </w:tcPr>
          <w:p>
            <w:r>
              <w:rPr>
                <w:b w:val="false"/>
                <w:bCs w:val="false"/>
                <w:sz w:val="19"/>
                <w:szCs w:val="19"/>
              </w:rPr>
              <w:t xml:space="preserve">Silent periodic frame capture during active chat</w:t>
            </w:r>
          </w:p>
        </w:tc>
        <w:tc>
          <w:tcPr>
            <w:tcW w:type="dxa" w:w="1800"/>
            <w:tcMar>
              <w:top w:type="dxa" w:w="80"/>
              <w:left w:type="dxa" w:w="100"/>
              <w:bottom w:type="dxa" w:w="80"/>
              <w:right w:type="dxa" w:w="100"/>
            </w:tcMar>
          </w:tcPr>
          <w:p>
            <w:r>
              <w:rPr>
                <w:b w:val="false"/>
                <w:bCs w:val="false"/>
                <w:sz w:val="19"/>
                <w:szCs w:val="19"/>
              </w:rPr>
              <w:t xml:space="preserve">MIT</w:t>
            </w:r>
          </w:p>
        </w:tc>
      </w:tr>
      <w:tr>
        <w:tc>
          <w:tcPr>
            <w:tcW w:type="dxa" w:w="3000"/>
            <w:tcMar>
              <w:top w:type="dxa" w:w="80"/>
              <w:left w:type="dxa" w:w="100"/>
              <w:bottom w:type="dxa" w:w="80"/>
              <w:right w:type="dxa" w:w="100"/>
            </w:tcMar>
          </w:tcPr>
          <w:p>
            <w:r>
              <w:rPr>
                <w:b w:val="false"/>
                <w:bCs w:val="false"/>
                <w:sz w:val="19"/>
                <w:szCs w:val="19"/>
              </w:rPr>
              <w:t xml:space="preserve">TensorFlow Lite</w:t>
            </w:r>
          </w:p>
        </w:tc>
        <w:tc>
          <w:tcPr>
            <w:tcW w:type="dxa" w:w="4550"/>
            <w:tcMar>
              <w:top w:type="dxa" w:w="80"/>
              <w:left w:type="dxa" w:w="100"/>
              <w:bottom w:type="dxa" w:w="80"/>
              <w:right w:type="dxa" w:w="100"/>
            </w:tcMar>
          </w:tcPr>
          <w:p>
            <w:r>
              <w:rPr>
                <w:b w:val="false"/>
                <w:bCs w:val="false"/>
                <w:sz w:val="19"/>
                <w:szCs w:val="19"/>
              </w:rPr>
              <w:t xml:space="preserve">On-device FER inference; no image ever leaves the device</w:t>
            </w:r>
          </w:p>
        </w:tc>
        <w:tc>
          <w:tcPr>
            <w:tcW w:type="dxa" w:w="1800"/>
            <w:tcMar>
              <w:top w:type="dxa" w:w="80"/>
              <w:left w:type="dxa" w:w="100"/>
              <w:bottom w:type="dxa" w:w="80"/>
              <w:right w:type="dxa" w:w="100"/>
            </w:tcMar>
          </w:tcPr>
          <w:p>
            <w:r>
              <w:rPr>
                <w:b w:val="false"/>
                <w:bCs w:val="false"/>
                <w:sz w:val="19"/>
                <w:szCs w:val="19"/>
              </w:rPr>
              <w:t xml:space="preserve">Apache-2.0</w:t>
            </w:r>
          </w:p>
        </w:tc>
      </w:tr>
      <w:tr>
        <w:tc>
          <w:tcPr>
            <w:tcW w:type="dxa" w:w="3000"/>
            <w:tcMar>
              <w:top w:type="dxa" w:w="80"/>
              <w:left w:type="dxa" w:w="100"/>
              <w:bottom w:type="dxa" w:w="80"/>
              <w:right w:type="dxa" w:w="100"/>
            </w:tcMar>
          </w:tcPr>
          <w:p>
            <w:r>
              <w:rPr>
                <w:b w:val="false"/>
                <w:bCs w:val="false"/>
                <w:sz w:val="19"/>
                <w:szCs w:val="19"/>
              </w:rPr>
              <w:t xml:space="preserve">Python + Keras</w:t>
            </w:r>
          </w:p>
        </w:tc>
        <w:tc>
          <w:tcPr>
            <w:tcW w:type="dxa" w:w="4550"/>
            <w:tcMar>
              <w:top w:type="dxa" w:w="80"/>
              <w:left w:type="dxa" w:w="100"/>
              <w:bottom w:type="dxa" w:w="80"/>
              <w:right w:type="dxa" w:w="100"/>
            </w:tcMar>
          </w:tcPr>
          <w:p>
            <w:r>
              <w:rPr>
                <w:b w:val="false"/>
                <w:bCs w:val="false"/>
                <w:sz w:val="19"/>
                <w:szCs w:val="19"/>
              </w:rPr>
              <w:t xml:space="preserve">FER model training and TFLite export (offline, not runtime)</w:t>
            </w:r>
          </w:p>
        </w:tc>
        <w:tc>
          <w:tcPr>
            <w:tcW w:type="dxa" w:w="1800"/>
            <w:tcMar>
              <w:top w:type="dxa" w:w="80"/>
              <w:left w:type="dxa" w:w="100"/>
              <w:bottom w:type="dxa" w:w="80"/>
              <w:right w:type="dxa" w:w="100"/>
            </w:tcMar>
          </w:tcPr>
          <w:p>
            <w:r>
              <w:rPr>
                <w:b w:val="false"/>
                <w:bCs w:val="false"/>
                <w:sz w:val="19"/>
                <w:szCs w:val="19"/>
              </w:rPr>
              <w:t xml:space="preserve">Apache-2.0 / MIT</w:t>
            </w:r>
          </w:p>
        </w:tc>
      </w:tr>
      <w:tr>
        <w:tc>
          <w:tcPr>
            <w:tcW w:type="dxa" w:w="3000"/>
            <w:tcMar>
              <w:top w:type="dxa" w:w="80"/>
              <w:left w:type="dxa" w:w="100"/>
              <w:bottom w:type="dxa" w:w="80"/>
              <w:right w:type="dxa" w:w="100"/>
            </w:tcMar>
          </w:tcPr>
          <w:p>
            <w:r>
              <w:rPr>
                <w:b w:val="false"/>
                <w:bCs w:val="false"/>
                <w:sz w:val="19"/>
                <w:szCs w:val="19"/>
              </w:rPr>
              <w:t xml:space="preserve">Google Colab Pro</w:t>
            </w:r>
          </w:p>
        </w:tc>
        <w:tc>
          <w:tcPr>
            <w:tcW w:type="dxa" w:w="4550"/>
            <w:tcMar>
              <w:top w:type="dxa" w:w="80"/>
              <w:left w:type="dxa" w:w="100"/>
              <w:bottom w:type="dxa" w:w="80"/>
              <w:right w:type="dxa" w:w="100"/>
            </w:tcMar>
          </w:tcPr>
          <w:p>
            <w:r>
              <w:rPr>
                <w:b w:val="false"/>
                <w:bCs w:val="false"/>
                <w:sz w:val="19"/>
                <w:szCs w:val="19"/>
              </w:rPr>
              <w:t xml:space="preserve">GPU access for MobileNetV2 fine-tuning</w:t>
            </w:r>
          </w:p>
        </w:tc>
        <w:tc>
          <w:tcPr>
            <w:tcW w:type="dxa" w:w="1800"/>
            <w:tcMar>
              <w:top w:type="dxa" w:w="80"/>
              <w:left w:type="dxa" w:w="100"/>
              <w:bottom w:type="dxa" w:w="80"/>
              <w:right w:type="dxa" w:w="100"/>
            </w:tcMar>
          </w:tcPr>
          <w:p>
            <w:r>
              <w:rPr>
                <w:b w:val="false"/>
                <w:bCs w:val="false"/>
                <w:sz w:val="19"/>
                <w:szCs w:val="19"/>
              </w:rPr>
              <w:t xml:space="preserve">N/A (paid service)</w:t>
            </w:r>
          </w:p>
        </w:tc>
      </w:tr>
      <w:tr>
        <w:tc>
          <w:tcPr>
            <w:tcW w:type="dxa" w:w="3000"/>
            <w:tcMar>
              <w:top w:type="dxa" w:w="80"/>
              <w:left w:type="dxa" w:w="100"/>
              <w:bottom w:type="dxa" w:w="80"/>
              <w:right w:type="dxa" w:w="100"/>
            </w:tcMar>
          </w:tcPr>
          <w:p>
            <w:r>
              <w:rPr>
                <w:b w:val="false"/>
                <w:bCs w:val="false"/>
                <w:sz w:val="19"/>
                <w:szCs w:val="19"/>
              </w:rPr>
              <w:t xml:space="preserve">FER-2013 + AffectNet</w:t>
            </w:r>
          </w:p>
        </w:tc>
        <w:tc>
          <w:tcPr>
            <w:tcW w:type="dxa" w:w="4550"/>
            <w:tcMar>
              <w:top w:type="dxa" w:w="80"/>
              <w:left w:type="dxa" w:w="100"/>
              <w:bottom w:type="dxa" w:w="80"/>
              <w:right w:type="dxa" w:w="100"/>
            </w:tcMar>
          </w:tcPr>
          <w:p>
            <w:r>
              <w:rPr>
                <w:b w:val="false"/>
                <w:bCs w:val="false"/>
                <w:sz w:val="19"/>
                <w:szCs w:val="19"/>
              </w:rPr>
              <w:t xml:space="preserve">Training data for the facial expression model</w:t>
            </w:r>
          </w:p>
        </w:tc>
        <w:tc>
          <w:tcPr>
            <w:tcW w:type="dxa" w:w="1800"/>
            <w:tcMar>
              <w:top w:type="dxa" w:w="80"/>
              <w:left w:type="dxa" w:w="100"/>
              <w:bottom w:type="dxa" w:w="80"/>
              <w:right w:type="dxa" w:w="100"/>
            </w:tcMar>
          </w:tcPr>
          <w:p>
            <w:r>
              <w:rPr>
                <w:b w:val="false"/>
                <w:bCs w:val="false"/>
                <w:sz w:val="19"/>
                <w:szCs w:val="19"/>
              </w:rPr>
              <w:t xml:space="preserve">Open research licences</w:t>
            </w:r>
          </w:p>
        </w:tc>
      </w:tr>
      <w:tr>
        <w:tc>
          <w:tcPr>
            <w:tcW w:type="dxa" w:w="3000"/>
            <w:tcMar>
              <w:top w:type="dxa" w:w="80"/>
              <w:left w:type="dxa" w:w="100"/>
              <w:bottom w:type="dxa" w:w="80"/>
              <w:right w:type="dxa" w:w="100"/>
            </w:tcMar>
          </w:tcPr>
          <w:p>
            <w:r>
              <w:rPr>
                <w:b w:val="false"/>
                <w:bCs w:val="false"/>
                <w:sz w:val="19"/>
                <w:szCs w:val="19"/>
              </w:rPr>
              <w:t xml:space="preserve">Node.js + Express</w:t>
            </w:r>
          </w:p>
        </w:tc>
        <w:tc>
          <w:tcPr>
            <w:tcW w:type="dxa" w:w="4550"/>
            <w:tcMar>
              <w:top w:type="dxa" w:w="80"/>
              <w:left w:type="dxa" w:w="100"/>
              <w:bottom w:type="dxa" w:w="80"/>
              <w:right w:type="dxa" w:w="100"/>
            </w:tcMar>
          </w:tcPr>
          <w:p>
            <w:r>
              <w:rPr>
                <w:b w:val="false"/>
                <w:bCs w:val="false"/>
                <w:sz w:val="19"/>
                <w:szCs w:val="19"/>
              </w:rPr>
              <w:t xml:space="preserve">Backend: chat, text/behaviour mood detection, LLM integration</w:t>
            </w:r>
          </w:p>
        </w:tc>
        <w:tc>
          <w:tcPr>
            <w:tcW w:type="dxa" w:w="1800"/>
            <w:tcMar>
              <w:top w:type="dxa" w:w="80"/>
              <w:left w:type="dxa" w:w="100"/>
              <w:bottom w:type="dxa" w:w="80"/>
              <w:right w:type="dxa" w:w="100"/>
            </w:tcMar>
          </w:tcPr>
          <w:p>
            <w:r>
              <w:rPr>
                <w:b w:val="false"/>
                <w:bCs w:val="false"/>
                <w:sz w:val="19"/>
                <w:szCs w:val="19"/>
              </w:rPr>
              <w:t xml:space="preserve">MIT</w:t>
            </w:r>
          </w:p>
        </w:tc>
      </w:tr>
      <w:tr>
        <w:tc>
          <w:tcPr>
            <w:tcW w:type="dxa" w:w="3000"/>
            <w:tcMar>
              <w:top w:type="dxa" w:w="80"/>
              <w:left w:type="dxa" w:w="100"/>
              <w:bottom w:type="dxa" w:w="80"/>
              <w:right w:type="dxa" w:w="100"/>
            </w:tcMar>
          </w:tcPr>
          <w:p>
            <w:r>
              <w:rPr>
                <w:b w:val="false"/>
                <w:bCs w:val="false"/>
                <w:sz w:val="19"/>
                <w:szCs w:val="19"/>
              </w:rPr>
              <w:t xml:space="preserve">Transformers.js + DistilBERT SST-2</w:t>
            </w:r>
          </w:p>
        </w:tc>
        <w:tc>
          <w:tcPr>
            <w:tcW w:type="dxa" w:w="4550"/>
            <w:tcMar>
              <w:top w:type="dxa" w:w="80"/>
              <w:left w:type="dxa" w:w="100"/>
              <w:bottom w:type="dxa" w:w="80"/>
              <w:right w:type="dxa" w:w="100"/>
            </w:tcMar>
          </w:tcPr>
          <w:p>
            <w:r>
              <w:rPr>
                <w:b w:val="false"/>
                <w:bCs w:val="false"/>
                <w:sz w:val="19"/>
                <w:szCs w:val="19"/>
              </w:rPr>
              <w:t xml:space="preserve">English sentiment (quantized, self-hosted, ~67MB)</w:t>
            </w:r>
          </w:p>
        </w:tc>
        <w:tc>
          <w:tcPr>
            <w:tcW w:type="dxa" w:w="1800"/>
            <w:tcMar>
              <w:top w:type="dxa" w:w="80"/>
              <w:left w:type="dxa" w:w="100"/>
              <w:bottom w:type="dxa" w:w="80"/>
              <w:right w:type="dxa" w:w="100"/>
            </w:tcMar>
          </w:tcPr>
          <w:p>
            <w:r>
              <w:rPr>
                <w:b w:val="false"/>
                <w:bCs w:val="false"/>
                <w:sz w:val="19"/>
                <w:szCs w:val="19"/>
              </w:rPr>
              <w:t xml:space="preserve">Apache-2.0</w:t>
            </w:r>
          </w:p>
        </w:tc>
      </w:tr>
      <w:tr>
        <w:tc>
          <w:tcPr>
            <w:tcW w:type="dxa" w:w="3000"/>
            <w:tcMar>
              <w:top w:type="dxa" w:w="80"/>
              <w:left w:type="dxa" w:w="100"/>
              <w:bottom w:type="dxa" w:w="80"/>
              <w:right w:type="dxa" w:w="100"/>
            </w:tcMar>
          </w:tcPr>
          <w:p>
            <w:r>
              <w:rPr>
                <w:b w:val="false"/>
                <w:bCs w:val="false"/>
                <w:sz w:val="19"/>
                <w:szCs w:val="19"/>
              </w:rPr>
              <w:t xml:space="preserve">sentiment (npm)</w:t>
            </w:r>
          </w:p>
        </w:tc>
        <w:tc>
          <w:tcPr>
            <w:tcW w:type="dxa" w:w="4550"/>
            <w:tcMar>
              <w:top w:type="dxa" w:w="80"/>
              <w:left w:type="dxa" w:w="100"/>
              <w:bottom w:type="dxa" w:w="80"/>
              <w:right w:type="dxa" w:w="100"/>
            </w:tcMar>
          </w:tcPr>
          <w:p>
            <w:r>
              <w:rPr>
                <w:b w:val="false"/>
                <w:bCs w:val="false"/>
                <w:sz w:val="19"/>
                <w:szCs w:val="19"/>
              </w:rPr>
              <w:t xml:space="preserve">Sinhala lexicon-based sentiment scoring</w:t>
            </w:r>
          </w:p>
        </w:tc>
        <w:tc>
          <w:tcPr>
            <w:tcW w:type="dxa" w:w="1800"/>
            <w:tcMar>
              <w:top w:type="dxa" w:w="80"/>
              <w:left w:type="dxa" w:w="100"/>
              <w:bottom w:type="dxa" w:w="80"/>
              <w:right w:type="dxa" w:w="100"/>
            </w:tcMar>
          </w:tcPr>
          <w:p>
            <w:r>
              <w:rPr>
                <w:b w:val="false"/>
                <w:bCs w:val="false"/>
                <w:sz w:val="19"/>
                <w:szCs w:val="19"/>
              </w:rPr>
              <w:t xml:space="preserve">MIT</w:t>
            </w:r>
          </w:p>
        </w:tc>
      </w:tr>
      <w:tr>
        <w:tc>
          <w:tcPr>
            <w:tcW w:type="dxa" w:w="3000"/>
            <w:tcMar>
              <w:top w:type="dxa" w:w="80"/>
              <w:left w:type="dxa" w:w="100"/>
              <w:bottom w:type="dxa" w:w="80"/>
              <w:right w:type="dxa" w:w="100"/>
            </w:tcMar>
          </w:tcPr>
          <w:p>
            <w:r>
              <w:rPr>
                <w:b w:val="false"/>
                <w:bCs w:val="false"/>
                <w:sz w:val="19"/>
                <w:szCs w:val="19"/>
              </w:rPr>
              <w:t xml:space="preserve">AsyncStorage (React Native)</w:t>
            </w:r>
          </w:p>
        </w:tc>
        <w:tc>
          <w:tcPr>
            <w:tcW w:type="dxa" w:w="4550"/>
            <w:tcMar>
              <w:top w:type="dxa" w:w="80"/>
              <w:left w:type="dxa" w:w="100"/>
              <w:bottom w:type="dxa" w:w="80"/>
              <w:right w:type="dxa" w:w="100"/>
            </w:tcMar>
          </w:tcPr>
          <w:p>
            <w:r>
              <w:rPr>
                <w:b w:val="false"/>
                <w:bCs w:val="false"/>
                <w:sz w:val="19"/>
                <w:szCs w:val="19"/>
              </w:rPr>
              <w:t xml:space="preserve">Local offline chat history and music storage</w:t>
            </w:r>
          </w:p>
        </w:tc>
        <w:tc>
          <w:tcPr>
            <w:tcW w:type="dxa" w:w="1800"/>
            <w:tcMar>
              <w:top w:type="dxa" w:w="80"/>
              <w:left w:type="dxa" w:w="100"/>
              <w:bottom w:type="dxa" w:w="80"/>
              <w:right w:type="dxa" w:w="100"/>
            </w:tcMar>
          </w:tcPr>
          <w:p>
            <w:r>
              <w:rPr>
                <w:b w:val="false"/>
                <w:bCs w:val="false"/>
                <w:sz w:val="19"/>
                <w:szCs w:val="19"/>
              </w:rPr>
              <w:t xml:space="preserve">MIT</w:t>
            </w:r>
          </w:p>
        </w:tc>
      </w:tr>
      <w:tr>
        <w:tc>
          <w:tcPr>
            <w:tcW w:type="dxa" w:w="3000"/>
            <w:tcMar>
              <w:top w:type="dxa" w:w="80"/>
              <w:left w:type="dxa" w:w="100"/>
              <w:bottom w:type="dxa" w:w="80"/>
              <w:right w:type="dxa" w:w="100"/>
            </w:tcMar>
          </w:tcPr>
          <w:p>
            <w:r>
              <w:rPr>
                <w:b w:val="false"/>
                <w:bCs w:val="false"/>
                <w:sz w:val="19"/>
                <w:szCs w:val="19"/>
              </w:rPr>
              <w:t xml:space="preserve">LLM API</w:t>
            </w:r>
          </w:p>
        </w:tc>
        <w:tc>
          <w:tcPr>
            <w:tcW w:type="dxa" w:w="4550"/>
            <w:tcMar>
              <w:top w:type="dxa" w:w="80"/>
              <w:left w:type="dxa" w:w="100"/>
              <w:bottom w:type="dxa" w:w="80"/>
              <w:right w:type="dxa" w:w="100"/>
            </w:tcMar>
          </w:tcPr>
          <w:p>
            <w:r>
              <w:rPr>
                <w:b w:val="false"/>
                <w:bCs w:val="false"/>
                <w:sz w:val="19"/>
                <w:szCs w:val="19"/>
              </w:rPr>
              <w:t xml:space="preserve">Chatbot response generation, mood-conditioned prompts</w:t>
            </w:r>
          </w:p>
        </w:tc>
        <w:tc>
          <w:tcPr>
            <w:tcW w:type="dxa" w:w="1800"/>
            <w:tcMar>
              <w:top w:type="dxa" w:w="80"/>
              <w:left w:type="dxa" w:w="100"/>
              <w:bottom w:type="dxa" w:w="80"/>
              <w:right w:type="dxa" w:w="100"/>
            </w:tcMar>
          </w:tcPr>
          <w:p>
            <w:r>
              <w:rPr>
                <w:b w:val="false"/>
                <w:bCs w:val="false"/>
                <w:sz w:val="19"/>
                <w:szCs w:val="19"/>
              </w:rPr>
              <w:t xml:space="preserve">Per provider terms</w:t>
            </w:r>
          </w:p>
        </w:tc>
      </w:tr>
    </w:tbl>
    <w:p>
      <w:pPr>
        <w:pStyle w:val="Heading2"/>
        <w:spacing w:after="120" w:before="240"/>
      </w:pPr>
      <w:r>
        <w:t xml:space="preserve">3.4 Datasets and Resources (v2)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50"/>
      </w:tblGrid>
      <w:tr>
        <w:trPr>
          <w:tblHeader/>
        </w:trPr>
        <w:tc>
          <w:tcPr>
            <w:tcW w:type="dxa" w:w="3500"/>
            <w:shd w:fill="E8DFF5" w:val="clear"/>
            <w:tcMar>
              <w:top w:type="dxa" w:w="80"/>
              <w:left w:type="dxa" w:w="100"/>
              <w:bottom w:type="dxa" w:w="80"/>
              <w:right w:type="dxa" w:w="100"/>
            </w:tcMar>
          </w:tcPr>
          <w:p>
            <w:r>
              <w:rPr>
                <w:b/>
                <w:bCs/>
                <w:sz w:val="19"/>
                <w:szCs w:val="19"/>
              </w:rPr>
              <w:t xml:space="preserve">Resource</w:t>
            </w:r>
          </w:p>
        </w:tc>
        <w:tc>
          <w:tcPr>
            <w:tcW w:type="dxa" w:w="2200"/>
            <w:shd w:fill="E8DFF5" w:val="clear"/>
            <w:tcMar>
              <w:top w:type="dxa" w:w="80"/>
              <w:left w:type="dxa" w:w="100"/>
              <w:bottom w:type="dxa" w:w="80"/>
              <w:right w:type="dxa" w:w="100"/>
            </w:tcMar>
          </w:tcPr>
          <w:p>
            <w:r>
              <w:rPr>
                <w:b/>
                <w:bCs/>
                <w:sz w:val="19"/>
                <w:szCs w:val="19"/>
              </w:rPr>
              <w:t xml:space="preserve">Type</w:t>
            </w:r>
          </w:p>
        </w:tc>
        <w:tc>
          <w:tcPr>
            <w:tcW w:type="dxa" w:w="3650"/>
            <w:shd w:fill="E8DFF5" w:val="clear"/>
            <w:tcMar>
              <w:top w:type="dxa" w:w="80"/>
              <w:left w:type="dxa" w:w="100"/>
              <w:bottom w:type="dxa" w:w="80"/>
              <w:right w:type="dxa" w:w="100"/>
            </w:tcMar>
          </w:tcPr>
          <w:p>
            <w:r>
              <w:rPr>
                <w:b/>
                <w:bCs/>
                <w:sz w:val="19"/>
                <w:szCs w:val="19"/>
              </w:rPr>
              <w:t xml:space="preserve">Role</w:t>
            </w:r>
          </w:p>
        </w:tc>
      </w:tr>
      <w:tr>
        <w:tc>
          <w:tcPr>
            <w:tcW w:type="dxa" w:w="3500"/>
            <w:tcMar>
              <w:top w:type="dxa" w:w="80"/>
              <w:left w:type="dxa" w:w="100"/>
              <w:bottom w:type="dxa" w:w="80"/>
              <w:right w:type="dxa" w:w="100"/>
            </w:tcMar>
          </w:tcPr>
          <w:p>
            <w:r>
              <w:rPr>
                <w:b w:val="false"/>
                <w:bCs w:val="false"/>
                <w:sz w:val="19"/>
                <w:szCs w:val="19"/>
              </w:rPr>
              <w:t xml:space="preserve">FER-2013 (~35,000 labelled images, 7 classes remapped to 3)</w:t>
            </w:r>
          </w:p>
        </w:tc>
        <w:tc>
          <w:tcPr>
            <w:tcW w:type="dxa" w:w="2200"/>
            <w:tcMar>
              <w:top w:type="dxa" w:w="80"/>
              <w:left w:type="dxa" w:w="100"/>
              <w:bottom w:type="dxa" w:w="80"/>
              <w:right w:type="dxa" w:w="100"/>
            </w:tcMar>
          </w:tcPr>
          <w:p>
            <w:r>
              <w:rPr>
                <w:b w:val="false"/>
                <w:bCs w:val="false"/>
                <w:sz w:val="19"/>
                <w:szCs w:val="19"/>
              </w:rPr>
              <w:t xml:space="preserve">Training data</w:t>
            </w:r>
          </w:p>
        </w:tc>
        <w:tc>
          <w:tcPr>
            <w:tcW w:type="dxa" w:w="3650"/>
            <w:tcMar>
              <w:top w:type="dxa" w:w="80"/>
              <w:left w:type="dxa" w:w="100"/>
              <w:bottom w:type="dxa" w:w="80"/>
              <w:right w:type="dxa" w:w="100"/>
            </w:tcMar>
          </w:tcPr>
          <w:p>
            <w:r>
              <w:rPr>
                <w:b w:val="false"/>
                <w:bCs w:val="false"/>
                <w:sz w:val="19"/>
                <w:szCs w:val="19"/>
              </w:rPr>
              <w:t xml:space="preserve">Base dataset for MobileNetV2 fine-tuning</w:t>
            </w:r>
          </w:p>
        </w:tc>
      </w:tr>
      <w:tr>
        <w:tc>
          <w:tcPr>
            <w:tcW w:type="dxa" w:w="3500"/>
            <w:tcMar>
              <w:top w:type="dxa" w:w="80"/>
              <w:left w:type="dxa" w:w="100"/>
              <w:bottom w:type="dxa" w:w="80"/>
              <w:right w:type="dxa" w:w="100"/>
            </w:tcMar>
          </w:tcPr>
          <w:p>
            <w:r>
              <w:rPr>
                <w:b w:val="false"/>
                <w:bCs w:val="false"/>
                <w:sz w:val="19"/>
                <w:szCs w:val="19"/>
              </w:rPr>
              <w:t xml:space="preserve">AffectNet</w:t>
            </w:r>
          </w:p>
        </w:tc>
        <w:tc>
          <w:tcPr>
            <w:tcW w:type="dxa" w:w="2200"/>
            <w:tcMar>
              <w:top w:type="dxa" w:w="80"/>
              <w:left w:type="dxa" w:w="100"/>
              <w:bottom w:type="dxa" w:w="80"/>
              <w:right w:type="dxa" w:w="100"/>
            </w:tcMar>
          </w:tcPr>
          <w:p>
            <w:r>
              <w:rPr>
                <w:b w:val="false"/>
                <w:bCs w:val="false"/>
                <w:sz w:val="19"/>
                <w:szCs w:val="19"/>
              </w:rPr>
              <w:t xml:space="preserve">Training data</w:t>
            </w:r>
          </w:p>
        </w:tc>
        <w:tc>
          <w:tcPr>
            <w:tcW w:type="dxa" w:w="3650"/>
            <w:tcMar>
              <w:top w:type="dxa" w:w="80"/>
              <w:left w:type="dxa" w:w="100"/>
              <w:bottom w:type="dxa" w:w="80"/>
              <w:right w:type="dxa" w:w="100"/>
            </w:tcMar>
          </w:tcPr>
          <w:p>
            <w:r>
              <w:rPr>
                <w:b w:val="false"/>
                <w:bCs w:val="false"/>
                <w:sz w:val="19"/>
                <w:szCs w:val="19"/>
              </w:rPr>
              <w:t xml:space="preserve">Adds real-world condition diversity (lighting, partial occlusion) beyond FER-2013's more controlled images</w:t>
            </w:r>
          </w:p>
        </w:tc>
      </w:tr>
      <w:tr>
        <w:tc>
          <w:tcPr>
            <w:tcW w:type="dxa" w:w="3500"/>
            <w:tcMar>
              <w:top w:type="dxa" w:w="80"/>
              <w:left w:type="dxa" w:w="100"/>
              <w:bottom w:type="dxa" w:w="80"/>
              <w:right w:type="dxa" w:w="100"/>
            </w:tcMar>
          </w:tcPr>
          <w:p>
            <w:r>
              <w:rPr>
                <w:b w:val="false"/>
                <w:bCs w:val="false"/>
                <w:sz w:val="19"/>
                <w:szCs w:val="19"/>
              </w:rPr>
              <w:t xml:space="preserve">~200-phrase labelled Sinhala pregnancy-context test set</w:t>
            </w:r>
          </w:p>
        </w:tc>
        <w:tc>
          <w:tcPr>
            <w:tcW w:type="dxa" w:w="2200"/>
            <w:tcMar>
              <w:top w:type="dxa" w:w="80"/>
              <w:left w:type="dxa" w:w="100"/>
              <w:bottom w:type="dxa" w:w="80"/>
              <w:right w:type="dxa" w:w="100"/>
            </w:tcMar>
          </w:tcPr>
          <w:p>
            <w:r>
              <w:rPr>
                <w:b w:val="false"/>
                <w:bCs w:val="false"/>
                <w:sz w:val="19"/>
                <w:szCs w:val="19"/>
              </w:rPr>
              <w:t xml:space="preserve">Self-created (evaluation only)</w:t>
            </w:r>
          </w:p>
        </w:tc>
        <w:tc>
          <w:tcPr>
            <w:tcW w:type="dxa" w:w="3650"/>
            <w:tcMar>
              <w:top w:type="dxa" w:w="80"/>
              <w:left w:type="dxa" w:w="100"/>
              <w:bottom w:type="dxa" w:w="80"/>
              <w:right w:type="dxa" w:w="100"/>
            </w:tcMar>
          </w:tcPr>
          <w:p>
            <w:r>
              <w:rPr>
                <w:b w:val="false"/>
                <w:bCs w:val="false"/>
                <w:sz w:val="19"/>
                <w:szCs w:val="19"/>
              </w:rPr>
              <w:t xml:space="preserve">Validates Sinhala lexicon accuracy</w:t>
            </w:r>
          </w:p>
        </w:tc>
      </w:tr>
      <w:tr>
        <w:tc>
          <w:tcPr>
            <w:tcW w:type="dxa" w:w="3500"/>
            <w:tcMar>
              <w:top w:type="dxa" w:w="80"/>
              <w:left w:type="dxa" w:w="100"/>
              <w:bottom w:type="dxa" w:w="80"/>
              <w:right w:type="dxa" w:w="100"/>
            </w:tcMar>
          </w:tcPr>
          <w:p>
            <w:r>
              <w:rPr>
                <w:b w:val="false"/>
                <w:bCs w:val="false"/>
                <w:sz w:val="19"/>
                <w:szCs w:val="19"/>
              </w:rPr>
              <w:t xml:space="preserve">~100-phrase labelled English pregnancy-context test set</w:t>
            </w:r>
          </w:p>
        </w:tc>
        <w:tc>
          <w:tcPr>
            <w:tcW w:type="dxa" w:w="2200"/>
            <w:tcMar>
              <w:top w:type="dxa" w:w="80"/>
              <w:left w:type="dxa" w:w="100"/>
              <w:bottom w:type="dxa" w:w="80"/>
              <w:right w:type="dxa" w:w="100"/>
            </w:tcMar>
          </w:tcPr>
          <w:p>
            <w:r>
              <w:rPr>
                <w:b w:val="false"/>
                <w:bCs w:val="false"/>
                <w:sz w:val="19"/>
                <w:szCs w:val="19"/>
              </w:rPr>
              <w:t xml:space="preserve">Self-created (evaluation only)</w:t>
            </w:r>
          </w:p>
        </w:tc>
        <w:tc>
          <w:tcPr>
            <w:tcW w:type="dxa" w:w="3650"/>
            <w:tcMar>
              <w:top w:type="dxa" w:w="80"/>
              <w:left w:type="dxa" w:w="100"/>
              <w:bottom w:type="dxa" w:w="80"/>
              <w:right w:type="dxa" w:w="100"/>
            </w:tcMar>
          </w:tcPr>
          <w:p>
            <w:r>
              <w:rPr>
                <w:b w:val="false"/>
                <w:bCs w:val="false"/>
                <w:sz w:val="19"/>
                <w:szCs w:val="19"/>
              </w:rPr>
              <w:t xml:space="preserve">Validates DistilBERT accuracy outside its native movie-review domain</w:t>
            </w:r>
          </w:p>
        </w:tc>
      </w:tr>
      <w:tr>
        <w:tc>
          <w:tcPr>
            <w:tcW w:type="dxa" w:w="3500"/>
            <w:tcMar>
              <w:top w:type="dxa" w:w="80"/>
              <w:left w:type="dxa" w:w="100"/>
              <w:bottom w:type="dxa" w:w="80"/>
              <w:right w:type="dxa" w:w="100"/>
            </w:tcMar>
          </w:tcPr>
          <w:p>
            <w:r>
              <w:rPr>
                <w:b w:val="false"/>
                <w:bCs w:val="false"/>
                <w:sz w:val="19"/>
                <w:szCs w:val="19"/>
              </w:rPr>
              <w:t xml:space="preserve">Held-out FER-2013/AffectNet test split</w:t>
            </w:r>
          </w:p>
        </w:tc>
        <w:tc>
          <w:tcPr>
            <w:tcW w:type="dxa" w:w="2200"/>
            <w:tcMar>
              <w:top w:type="dxa" w:w="80"/>
              <w:left w:type="dxa" w:w="100"/>
              <w:bottom w:type="dxa" w:w="80"/>
              <w:right w:type="dxa" w:w="100"/>
            </w:tcMar>
          </w:tcPr>
          <w:p>
            <w:r>
              <w:rPr>
                <w:b w:val="false"/>
                <w:bCs w:val="false"/>
                <w:sz w:val="19"/>
                <w:szCs w:val="19"/>
              </w:rPr>
              <w:t xml:space="preserve">Evaluation only</w:t>
            </w:r>
          </w:p>
        </w:tc>
        <w:tc>
          <w:tcPr>
            <w:tcW w:type="dxa" w:w="3650"/>
            <w:tcMar>
              <w:top w:type="dxa" w:w="80"/>
              <w:left w:type="dxa" w:w="100"/>
              <w:bottom w:type="dxa" w:w="80"/>
              <w:right w:type="dxa" w:w="100"/>
            </w:tcMar>
          </w:tcPr>
          <w:p>
            <w:r>
              <w:rPr>
                <w:b w:val="false"/>
                <w:bCs w:val="false"/>
                <w:sz w:val="19"/>
                <w:szCs w:val="19"/>
              </w:rPr>
              <w:t xml:space="preserve">FER model accuracy/precision/recall, measured at a range of head-pose angles where labels permit</w:t>
            </w:r>
          </w:p>
        </w:tc>
      </w:tr>
      <w:tr>
        <w:tc>
          <w:tcPr>
            <w:tcW w:type="dxa" w:w="3500"/>
            <w:tcMar>
              <w:top w:type="dxa" w:w="80"/>
              <w:left w:type="dxa" w:w="100"/>
              <w:bottom w:type="dxa" w:w="80"/>
              <w:right w:type="dxa" w:w="100"/>
            </w:tcMar>
          </w:tcPr>
          <w:p>
            <w:r>
              <w:rPr>
                <w:b w:val="false"/>
                <w:bCs w:val="false"/>
                <w:sz w:val="19"/>
                <w:szCs w:val="19"/>
              </w:rPr>
              <w:t xml:space="preserve">Sinhala PASS-S (Priyadarshanie et al., 2020, BMC Psychiatry)</w:t>
            </w:r>
          </w:p>
        </w:tc>
        <w:tc>
          <w:tcPr>
            <w:tcW w:type="dxa" w:w="2200"/>
            <w:tcMar>
              <w:top w:type="dxa" w:w="80"/>
              <w:left w:type="dxa" w:w="100"/>
              <w:bottom w:type="dxa" w:w="80"/>
              <w:right w:type="dxa" w:w="100"/>
            </w:tcMar>
          </w:tcPr>
          <w:p>
            <w:r>
              <w:rPr>
                <w:b w:val="false"/>
                <w:bCs w:val="false"/>
                <w:sz w:val="19"/>
                <w:szCs w:val="19"/>
              </w:rPr>
              <w:t xml:space="preserve">Validated clinical instrument</w:t>
            </w:r>
          </w:p>
        </w:tc>
        <w:tc>
          <w:tcPr>
            <w:tcW w:type="dxa" w:w="3650"/>
            <w:tcMar>
              <w:top w:type="dxa" w:w="80"/>
              <w:left w:type="dxa" w:w="100"/>
              <w:bottom w:type="dxa" w:w="80"/>
              <w:right w:type="dxa" w:w="100"/>
            </w:tcMar>
          </w:tcPr>
          <w:p>
            <w:r>
              <w:rPr>
                <w:b w:val="false"/>
                <w:bCs w:val="false"/>
                <w:sz w:val="19"/>
                <w:szCs w:val="19"/>
              </w:rPr>
              <w:t xml:space="preserve">Ground truth for the self-report agreement evaluation</w:t>
            </w:r>
          </w:p>
        </w:tc>
      </w:tr>
    </w:tbl>
    <w:p>
      <w:pPr>
        <w:pStyle w:val="Heading2"/>
        <w:spacing w:after="120" w:before="240"/>
      </w:pPr>
      <w:r>
        <w:t xml:space="preserve">3.5 Evaluation Plan (v2)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350"/>
        <w:gridCol w:w="4100"/>
      </w:tblGrid>
      <w:tr>
        <w:trPr>
          <w:tblHeader/>
        </w:trPr>
        <w:tc>
          <w:tcPr>
            <w:tcW w:type="dxa" w:w="2900"/>
            <w:shd w:fill="E8DFF5" w:val="clear"/>
            <w:tcMar>
              <w:top w:type="dxa" w:w="80"/>
              <w:left w:type="dxa" w:w="100"/>
              <w:bottom w:type="dxa" w:w="80"/>
              <w:right w:type="dxa" w:w="100"/>
            </w:tcMar>
          </w:tcPr>
          <w:p>
            <w:r>
              <w:rPr>
                <w:b/>
                <w:bCs/>
                <w:sz w:val="19"/>
                <w:szCs w:val="19"/>
              </w:rPr>
              <w:t xml:space="preserve">What is measured</w:t>
            </w:r>
          </w:p>
        </w:tc>
        <w:tc>
          <w:tcPr>
            <w:tcW w:type="dxa" w:w="2350"/>
            <w:shd w:fill="E8DFF5" w:val="clear"/>
            <w:tcMar>
              <w:top w:type="dxa" w:w="80"/>
              <w:left w:type="dxa" w:w="100"/>
              <w:bottom w:type="dxa" w:w="80"/>
              <w:right w:type="dxa" w:w="100"/>
            </w:tcMar>
          </w:tcPr>
          <w:p>
            <w:r>
              <w:rPr>
                <w:b/>
                <w:bCs/>
                <w:sz w:val="19"/>
                <w:szCs w:val="19"/>
              </w:rPr>
              <w:t xml:space="preserve">Target</w:t>
            </w:r>
          </w:p>
        </w:tc>
        <w:tc>
          <w:tcPr>
            <w:tcW w:type="dxa" w:w="4100"/>
            <w:shd w:fill="E8DFF5" w:val="clear"/>
            <w:tcMar>
              <w:top w:type="dxa" w:w="80"/>
              <w:left w:type="dxa" w:w="100"/>
              <w:bottom w:type="dxa" w:w="80"/>
              <w:right w:type="dxa" w:w="100"/>
            </w:tcMar>
          </w:tcPr>
          <w:p>
            <w:r>
              <w:rPr>
                <w:b/>
                <w:bCs/>
                <w:sz w:val="19"/>
                <w:szCs w:val="19"/>
              </w:rPr>
              <w:t xml:space="preserve">How</w:t>
            </w:r>
          </w:p>
        </w:tc>
      </w:tr>
      <w:tr>
        <w:tc>
          <w:tcPr>
            <w:tcW w:type="dxa" w:w="2900"/>
            <w:tcMar>
              <w:top w:type="dxa" w:w="80"/>
              <w:left w:type="dxa" w:w="100"/>
              <w:bottom w:type="dxa" w:w="80"/>
              <w:right w:type="dxa" w:w="100"/>
            </w:tcMar>
          </w:tcPr>
          <w:p>
            <w:r>
              <w:rPr>
                <w:b w:val="false"/>
                <w:bCs w:val="false"/>
                <w:sz w:val="19"/>
                <w:szCs w:val="19"/>
              </w:rPr>
              <w:t xml:space="preserve">FER model accuracy (3-class)</w:t>
            </w:r>
          </w:p>
        </w:tc>
        <w:tc>
          <w:tcPr>
            <w:tcW w:type="dxa" w:w="2350"/>
            <w:tcMar>
              <w:top w:type="dxa" w:w="80"/>
              <w:left w:type="dxa" w:w="100"/>
              <w:bottom w:type="dxa" w:w="80"/>
              <w:right w:type="dxa" w:w="100"/>
            </w:tcMar>
          </w:tcPr>
          <w:p>
            <w:r>
              <w:rPr>
                <w:b w:val="false"/>
                <w:bCs w:val="false"/>
                <w:sz w:val="19"/>
                <w:szCs w:val="19"/>
              </w:rPr>
              <w:t xml:space="preserve">≥ 65% on held-out test split</w:t>
            </w:r>
          </w:p>
        </w:tc>
        <w:tc>
          <w:tcPr>
            <w:tcW w:type="dxa" w:w="4100"/>
            <w:tcMar>
              <w:top w:type="dxa" w:w="80"/>
              <w:left w:type="dxa" w:w="100"/>
              <w:bottom w:type="dxa" w:w="80"/>
              <w:right w:type="dxa" w:w="100"/>
            </w:tcMar>
          </w:tcPr>
          <w:p>
            <w:r>
              <w:rPr>
                <w:b w:val="false"/>
                <w:bCs w:val="false"/>
                <w:sz w:val="19"/>
                <w:szCs w:val="19"/>
              </w:rPr>
              <w:t xml:space="preserve">Precision/recall/F1 on FER-2013 + AffectNet held-out data; accuracy also reported separately for frontal vs. off-angle subsets where labels allow, to characterise the head-pose effect rather than assume it away</w:t>
            </w:r>
          </w:p>
        </w:tc>
      </w:tr>
      <w:tr>
        <w:tc>
          <w:tcPr>
            <w:tcW w:type="dxa" w:w="2900"/>
            <w:tcMar>
              <w:top w:type="dxa" w:w="80"/>
              <w:left w:type="dxa" w:w="100"/>
              <w:bottom w:type="dxa" w:w="80"/>
              <w:right w:type="dxa" w:w="100"/>
            </w:tcMar>
          </w:tcPr>
          <w:p>
            <w:r>
              <w:rPr>
                <w:b w:val="false"/>
                <w:bCs w:val="false"/>
                <w:sz w:val="19"/>
                <w:szCs w:val="19"/>
              </w:rPr>
              <w:t xml:space="preserve">On-device FER inference time</w:t>
            </w:r>
          </w:p>
        </w:tc>
        <w:tc>
          <w:tcPr>
            <w:tcW w:type="dxa" w:w="2350"/>
            <w:tcMar>
              <w:top w:type="dxa" w:w="80"/>
              <w:left w:type="dxa" w:w="100"/>
              <w:bottom w:type="dxa" w:w="80"/>
              <w:right w:type="dxa" w:w="100"/>
            </w:tcMar>
          </w:tcPr>
          <w:p>
            <w:r>
              <w:rPr>
                <w:b w:val="false"/>
                <w:bCs w:val="false"/>
                <w:sz w:val="19"/>
                <w:szCs w:val="19"/>
              </w:rPr>
              <w:t xml:space="preserve">&lt; 3 seconds per frame</w:t>
            </w:r>
          </w:p>
        </w:tc>
        <w:tc>
          <w:tcPr>
            <w:tcW w:type="dxa" w:w="4100"/>
            <w:tcMar>
              <w:top w:type="dxa" w:w="80"/>
              <w:left w:type="dxa" w:w="100"/>
              <w:bottom w:type="dxa" w:w="80"/>
              <w:right w:type="dxa" w:w="100"/>
            </w:tcMar>
          </w:tcPr>
          <w:p>
            <w:r>
              <w:rPr>
                <w:b w:val="false"/>
                <w:bCs w:val="false"/>
                <w:sz w:val="19"/>
                <w:szCs w:val="19"/>
              </w:rPr>
              <w:t xml:space="preserve">Timing logs on a mid-range Android test device</w:t>
            </w:r>
          </w:p>
        </w:tc>
      </w:tr>
      <w:tr>
        <w:tc>
          <w:tcPr>
            <w:tcW w:type="dxa" w:w="2900"/>
            <w:tcMar>
              <w:top w:type="dxa" w:w="80"/>
              <w:left w:type="dxa" w:w="100"/>
              <w:bottom w:type="dxa" w:w="80"/>
              <w:right w:type="dxa" w:w="100"/>
            </w:tcMar>
          </w:tcPr>
          <w:p>
            <w:r>
              <w:rPr>
                <w:b w:val="false"/>
                <w:bCs w:val="false"/>
                <w:sz w:val="19"/>
                <w:szCs w:val="19"/>
              </w:rPr>
              <w:t xml:space="preserve">English sentiment accuracy</w:t>
            </w:r>
          </w:p>
        </w:tc>
        <w:tc>
          <w:tcPr>
            <w:tcW w:type="dxa" w:w="2350"/>
            <w:tcMar>
              <w:top w:type="dxa" w:w="80"/>
              <w:left w:type="dxa" w:w="100"/>
              <w:bottom w:type="dxa" w:w="80"/>
              <w:right w:type="dxa" w:w="100"/>
            </w:tcMar>
          </w:tcPr>
          <w:p>
            <w:r>
              <w:rPr>
                <w:b w:val="false"/>
                <w:bCs w:val="false"/>
                <w:sz w:val="19"/>
                <w:szCs w:val="19"/>
              </w:rPr>
              <w:t xml:space="preserve">≥ 80% on pregnancy-context test set</w:t>
            </w:r>
          </w:p>
        </w:tc>
        <w:tc>
          <w:tcPr>
            <w:tcW w:type="dxa" w:w="4100"/>
            <w:tcMar>
              <w:top w:type="dxa" w:w="80"/>
              <w:left w:type="dxa" w:w="100"/>
              <w:bottom w:type="dxa" w:w="80"/>
              <w:right w:type="dxa" w:w="100"/>
            </w:tcMar>
          </w:tcPr>
          <w:p>
            <w:r>
              <w:rPr>
                <w:b w:val="false"/>
                <w:bCs w:val="false"/>
                <w:sz w:val="19"/>
                <w:szCs w:val="19"/>
              </w:rPr>
              <w:t xml:space="preserve">DistilBERT output vs. hand-labelled ~100-phrase set</w:t>
            </w:r>
          </w:p>
        </w:tc>
      </w:tr>
      <w:tr>
        <w:tc>
          <w:tcPr>
            <w:tcW w:type="dxa" w:w="2900"/>
            <w:tcMar>
              <w:top w:type="dxa" w:w="80"/>
              <w:left w:type="dxa" w:w="100"/>
              <w:bottom w:type="dxa" w:w="80"/>
              <w:right w:type="dxa" w:w="100"/>
            </w:tcMar>
          </w:tcPr>
          <w:p>
            <w:r>
              <w:rPr>
                <w:b w:val="false"/>
                <w:bCs w:val="false"/>
                <w:sz w:val="19"/>
                <w:szCs w:val="19"/>
              </w:rPr>
              <w:t xml:space="preserve">Sinhala sentiment accuracy</w:t>
            </w:r>
          </w:p>
        </w:tc>
        <w:tc>
          <w:tcPr>
            <w:tcW w:type="dxa" w:w="2350"/>
            <w:tcMar>
              <w:top w:type="dxa" w:w="80"/>
              <w:left w:type="dxa" w:w="100"/>
              <w:bottom w:type="dxa" w:w="80"/>
              <w:right w:type="dxa" w:w="100"/>
            </w:tcMar>
          </w:tcPr>
          <w:p>
            <w:r>
              <w:rPr>
                <w:b w:val="false"/>
                <w:bCs w:val="false"/>
                <w:sz w:val="19"/>
                <w:szCs w:val="19"/>
              </w:rPr>
              <w:t xml:space="preserve">≥ 70% on pregnancy-context test set</w:t>
            </w:r>
          </w:p>
        </w:tc>
        <w:tc>
          <w:tcPr>
            <w:tcW w:type="dxa" w:w="4100"/>
            <w:tcMar>
              <w:top w:type="dxa" w:w="80"/>
              <w:left w:type="dxa" w:w="100"/>
              <w:bottom w:type="dxa" w:w="80"/>
              <w:right w:type="dxa" w:w="100"/>
            </w:tcMar>
          </w:tcPr>
          <w:p>
            <w:r>
              <w:rPr>
                <w:b w:val="false"/>
                <w:bCs w:val="false"/>
                <w:sz w:val="19"/>
                <w:szCs w:val="19"/>
              </w:rPr>
              <w:t xml:space="preserve">Lexicon output vs. hand-labelled ~200-phrase set</w:t>
            </w:r>
          </w:p>
        </w:tc>
      </w:tr>
      <w:tr>
        <w:tc>
          <w:tcPr>
            <w:tcW w:type="dxa" w:w="2900"/>
            <w:tcMar>
              <w:top w:type="dxa" w:w="80"/>
              <w:left w:type="dxa" w:w="100"/>
              <w:bottom w:type="dxa" w:w="80"/>
              <w:right w:type="dxa" w:w="100"/>
            </w:tcMar>
          </w:tcPr>
          <w:p>
            <w:r>
              <w:rPr>
                <w:b w:val="false"/>
                <w:bCs w:val="false"/>
                <w:sz w:val="19"/>
                <w:szCs w:val="19"/>
              </w:rPr>
              <w:t xml:space="preserve">Mood detection agreement with self-report</w:t>
            </w:r>
          </w:p>
        </w:tc>
        <w:tc>
          <w:tcPr>
            <w:tcW w:type="dxa" w:w="2350"/>
            <w:tcMar>
              <w:top w:type="dxa" w:w="80"/>
              <w:left w:type="dxa" w:w="100"/>
              <w:bottom w:type="dxa" w:w="80"/>
              <w:right w:type="dxa" w:w="100"/>
            </w:tcMar>
          </w:tcPr>
          <w:p>
            <w:r>
              <w:rPr>
                <w:b w:val="false"/>
                <w:bCs w:val="false"/>
                <w:sz w:val="19"/>
                <w:szCs w:val="19"/>
              </w:rPr>
              <w:t xml:space="preserve">≥ 70% agreement</w:t>
            </w:r>
          </w:p>
        </w:tc>
        <w:tc>
          <w:tcPr>
            <w:tcW w:type="dxa" w:w="4100"/>
            <w:tcMar>
              <w:top w:type="dxa" w:w="80"/>
              <w:left w:type="dxa" w:w="100"/>
              <w:bottom w:type="dxa" w:w="80"/>
              <w:right w:type="dxa" w:w="100"/>
            </w:tcMar>
          </w:tcPr>
          <w:p>
            <w:r>
              <w:rPr>
                <w:b w:val="false"/>
                <w:bCs w:val="false"/>
                <w:sz w:val="19"/>
                <w:szCs w:val="19"/>
              </w:rPr>
              <w:t xml:space="preserve">Fused 3-signal mood score vs. Sinhala PASS-S self-report</w:t>
            </w:r>
          </w:p>
        </w:tc>
      </w:tr>
      <w:tr>
        <w:tc>
          <w:tcPr>
            <w:tcW w:type="dxa" w:w="2900"/>
            <w:tcMar>
              <w:top w:type="dxa" w:w="80"/>
              <w:left w:type="dxa" w:w="100"/>
              <w:bottom w:type="dxa" w:w="80"/>
              <w:right w:type="dxa" w:w="100"/>
            </w:tcMar>
          </w:tcPr>
          <w:p>
            <w:r>
              <w:rPr>
                <w:b w:val="false"/>
                <w:bCs w:val="false"/>
                <w:sz w:val="19"/>
                <w:szCs w:val="19"/>
              </w:rPr>
              <w:t xml:space="preserve">Backend inference latency and RAM footprint (text/behaviour signals)</w:t>
            </w:r>
          </w:p>
        </w:tc>
        <w:tc>
          <w:tcPr>
            <w:tcW w:type="dxa" w:w="2350"/>
            <w:tcMar>
              <w:top w:type="dxa" w:w="80"/>
              <w:left w:type="dxa" w:w="100"/>
              <w:bottom w:type="dxa" w:w="80"/>
              <w:right w:type="dxa" w:w="100"/>
            </w:tcMar>
          </w:tcPr>
          <w:p>
            <w:r>
              <w:rPr>
                <w:b w:val="false"/>
                <w:bCs w:val="false"/>
                <w:sz w:val="19"/>
                <w:szCs w:val="19"/>
              </w:rPr>
              <w:t xml:space="preserve">Documented and reported</w:t>
            </w:r>
          </w:p>
        </w:tc>
        <w:tc>
          <w:tcPr>
            <w:tcW w:type="dxa" w:w="4100"/>
            <w:tcMar>
              <w:top w:type="dxa" w:w="80"/>
              <w:left w:type="dxa" w:w="100"/>
              <w:bottom w:type="dxa" w:w="80"/>
              <w:right w:type="dxa" w:w="100"/>
            </w:tcMar>
          </w:tcPr>
          <w:p>
            <w:r>
              <w:rPr>
                <w:b w:val="false"/>
                <w:bCs w:val="false"/>
                <w:sz w:val="19"/>
                <w:szCs w:val="19"/>
              </w:rPr>
              <w:t xml:space="preserve">Logged on the actual deployment platform</w:t>
            </w:r>
          </w:p>
        </w:tc>
      </w:tr>
      <w:tr>
        <w:tc>
          <w:tcPr>
            <w:tcW w:type="dxa" w:w="2900"/>
            <w:tcMar>
              <w:top w:type="dxa" w:w="80"/>
              <w:left w:type="dxa" w:w="100"/>
              <w:bottom w:type="dxa" w:w="80"/>
              <w:right w:type="dxa" w:w="100"/>
            </w:tcMar>
          </w:tcPr>
          <w:p>
            <w:r>
              <w:rPr>
                <w:b w:val="false"/>
                <w:bCs w:val="false"/>
                <w:sz w:val="19"/>
                <w:szCs w:val="19"/>
              </w:rPr>
              <w:t xml:space="preserve">User satisfaction with chatbot tone</w:t>
            </w:r>
          </w:p>
        </w:tc>
        <w:tc>
          <w:tcPr>
            <w:tcW w:type="dxa" w:w="2350"/>
            <w:tcMar>
              <w:top w:type="dxa" w:w="80"/>
              <w:left w:type="dxa" w:w="100"/>
              <w:bottom w:type="dxa" w:w="80"/>
              <w:right w:type="dxa" w:w="100"/>
            </w:tcMar>
          </w:tcPr>
          <w:p>
            <w:r>
              <w:rPr>
                <w:b w:val="false"/>
                <w:bCs w:val="false"/>
                <w:sz w:val="19"/>
                <w:szCs w:val="19"/>
              </w:rPr>
              <w:t xml:space="preserve">4 out of 5 or above</w:t>
            </w:r>
          </w:p>
        </w:tc>
        <w:tc>
          <w:tcPr>
            <w:tcW w:type="dxa" w:w="4100"/>
            <w:tcMar>
              <w:top w:type="dxa" w:w="80"/>
              <w:left w:type="dxa" w:w="100"/>
              <w:bottom w:type="dxa" w:w="80"/>
              <w:right w:type="dxa" w:w="100"/>
            </w:tcMar>
          </w:tcPr>
          <w:p>
            <w:r>
              <w:rPr>
                <w:b w:val="false"/>
                <w:bCs w:val="false"/>
                <w:sz w:val="19"/>
                <w:szCs w:val="19"/>
              </w:rPr>
              <w:t xml:space="preserve">Post-session questionnaire</w:t>
            </w:r>
          </w:p>
        </w:tc>
      </w:tr>
      <w:tr>
        <w:tc>
          <w:tcPr>
            <w:tcW w:type="dxa" w:w="2900"/>
            <w:tcMar>
              <w:top w:type="dxa" w:w="80"/>
              <w:left w:type="dxa" w:w="100"/>
              <w:bottom w:type="dxa" w:w="80"/>
              <w:right w:type="dxa" w:w="100"/>
            </w:tcMar>
          </w:tcPr>
          <w:p>
            <w:r>
              <w:rPr>
                <w:b w:val="false"/>
                <w:bCs w:val="false"/>
                <w:sz w:val="19"/>
                <w:szCs w:val="19"/>
              </w:rPr>
              <w:t xml:space="preserve">Offline functionality</w:t>
            </w:r>
          </w:p>
        </w:tc>
        <w:tc>
          <w:tcPr>
            <w:tcW w:type="dxa" w:w="2350"/>
            <w:tcMar>
              <w:top w:type="dxa" w:w="80"/>
              <w:left w:type="dxa" w:w="100"/>
              <w:bottom w:type="dxa" w:w="80"/>
              <w:right w:type="dxa" w:w="100"/>
            </w:tcMar>
          </w:tcPr>
          <w:p>
            <w:r>
              <w:rPr>
                <w:b w:val="false"/>
                <w:bCs w:val="false"/>
                <w:sz w:val="19"/>
                <w:szCs w:val="19"/>
              </w:rPr>
              <w:t xml:space="preserve">100% accessible without internet</w:t>
            </w:r>
          </w:p>
        </w:tc>
        <w:tc>
          <w:tcPr>
            <w:tcW w:type="dxa" w:w="4100"/>
            <w:tcMar>
              <w:top w:type="dxa" w:w="80"/>
              <w:left w:type="dxa" w:w="100"/>
              <w:bottom w:type="dxa" w:w="80"/>
              <w:right w:type="dxa" w:w="100"/>
            </w:tcMar>
          </w:tcPr>
          <w:p>
            <w:r>
              <w:rPr>
                <w:b w:val="false"/>
                <w:bCs w:val="false"/>
                <w:sz w:val="19"/>
                <w:szCs w:val="19"/>
              </w:rPr>
              <w:t xml:space="preserve">Airplane-mode test</w:t>
            </w:r>
          </w:p>
        </w:tc>
      </w:tr>
    </w:tbl>
    <w:p>
      <w:r>
        <w:br w:type="page"/>
      </w:r>
    </w:p>
    <w:p>
      <w:pPr>
        <w:pStyle w:val="Heading1"/>
        <w:spacing w:after="160" w:before="320"/>
      </w:pPr>
      <w:r>
        <w:t xml:space="preserve">4. High-Level System Architecture (v2)</w:t>
      </w:r>
    </w:p>
    <w:p>
      <w:pPr>
        <w:pStyle w:val="Heading2"/>
        <w:spacing w:after="120" w:before="240"/>
      </w:pPr>
      <w:r>
        <w:t xml:space="preserve">4.1 Overview</w:t>
      </w:r>
    </w:p>
    <w:p>
      <w:pPr>
        <w:spacing w:after="160"/>
      </w:pPr>
      <w:r>
        <w:t xml:space="preserve">The four-module structure is unchanged; Module 2 (Mood Detection) now produces three signal streams instead of two, and Module 3's fusion logic combines all three.</w:t>
      </w:r>
    </w:p>
    <w:p>
      <w:pPr>
        <w:spacing w:after="80" w:before="12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95750"/>
                    </a:xfrm>
                    <a:prstGeom prst="rect">
                      <a:avLst/>
                    </a:prstGeom>
                  </pic:spPr>
                </pic:pic>
              </a:graphicData>
            </a:graphic>
          </wp:inline>
        </w:drawing>
      </w:r>
    </w:p>
    <w:p>
      <w:pPr>
        <w:spacing w:after="240"/>
        <w:jc w:val="center"/>
      </w:pPr>
      <w:r>
        <w:rPr>
          <w:i/>
          <w:iCs/>
          <w:color w:val="555555"/>
          <w:sz w:val="18"/>
          <w:szCs w:val="18"/>
        </w:rPr>
        <w:t xml:space="preserve">Figure 1 — High-level system architecture with facial expression recognition reinstated as a third signal.</w:t>
      </w:r>
    </w:p>
    <w:p>
      <w:pPr>
        <w:pStyle w:val="Heading2"/>
        <w:spacing w:after="120" w:before="240"/>
      </w:pPr>
      <w:r>
        <w:t xml:space="preserve">4.2 Layer-by-Layer Description</w:t>
      </w:r>
    </w:p>
    <w:p>
      <w:pPr>
        <w:pStyle w:val="Heading3"/>
        <w:spacing w:after="100" w:before="200"/>
      </w:pPr>
      <w:r>
        <w:t xml:space="preserve">Module 1 — AI Chatbot</w:t>
      </w:r>
    </w:p>
    <w:p>
      <w:pPr>
        <w:spacing w:after="160"/>
      </w:pPr>
      <w:r>
        <w:t xml:space="preserve">Unchanged: bilingual chat interface, Node.js/Express backend, LLM API integration.</w:t>
      </w:r>
    </w:p>
    <w:p>
      <w:pPr>
        <w:pStyle w:val="Heading3"/>
        <w:spacing w:after="100" w:before="200"/>
      </w:pPr>
      <w:r>
        <w:t xml:space="preserve">Module 2 — Mood Detection</w:t>
      </w:r>
    </w:p>
    <w:p>
      <w:pPr>
        <w:spacing w:after="160"/>
      </w:pPr>
      <w:r>
        <w:t xml:space="preserve">Runs on every user message and every camera timer tick: facial expression via on-device TFLite (EMA-smoothed, confidence-filtered), English text via DistilBERT, Sinhala text via the custom lexicon, and typing/delay signals from timestamps.</w:t>
      </w:r>
    </w:p>
    <w:p>
      <w:pPr>
        <w:pStyle w:val="Heading3"/>
        <w:spacing w:after="100" w:before="200"/>
      </w:pPr>
      <w:r>
        <w:t xml:space="preserve">Module 3 — Adaptive Intelligence</w:t>
      </w:r>
    </w:p>
    <w:p>
      <w:pPr>
        <w:spacing w:after="160"/>
      </w:pPr>
      <w:r>
        <w:t xml:space="preserve">Combines all three Module 2 outputs into a single mood score (45% facial / 40% text / 15% behaviour), updates the chatbot's system prompt context, and triggers the music recommendation banner at the distress threshold.</w:t>
      </w:r>
    </w:p>
    <w:p>
      <w:pPr>
        <w:pStyle w:val="Heading3"/>
        <w:spacing w:after="100" w:before="200"/>
      </w:pPr>
      <w:r>
        <w:t xml:space="preserve">Module 4 — Data Management</w:t>
      </w:r>
    </w:p>
    <w:p>
      <w:pPr>
        <w:spacing w:after="160"/>
      </w:pPr>
      <w:r>
        <w:t xml:space="preserve">Unchanged: AsyncStorage for chat history and music, standalone JSON mood export for the doctor-facing component.</w:t>
      </w:r>
    </w:p>
    <w:p>
      <w:pPr>
        <w:pStyle w:val="Heading2"/>
        <w:spacing w:after="120" w:before="240"/>
      </w:pPr>
      <w:r>
        <w:t xml:space="preserve">4.3 Data Flow — Step by Step</w:t>
      </w:r>
    </w:p>
    <w:p>
      <w:pPr>
        <w:pStyle w:val="ListParagraph"/>
        <w:numPr>
          <w:ilvl w:val="0"/>
          <w:numId w:val="2"/>
        </w:numPr>
        <w:spacing w:after="80"/>
      </w:pPr>
      <w:r>
        <w:t xml:space="preserve">User sends a message in Sinhala or English; it is saved to local storage immediately.</w:t>
      </w:r>
    </w:p>
    <w:p>
      <w:pPr>
        <w:pStyle w:val="ListParagraph"/>
        <w:numPr>
          <w:ilvl w:val="0"/>
          <w:numId w:val="2"/>
        </w:numPr>
        <w:spacing w:after="80"/>
      </w:pPr>
      <w:r>
        <w:t xml:space="preserve">The message is classified by Module 2's text pipeline (DistilBERT or lexicon) alongside typing speed and response delay.</w:t>
      </w:r>
    </w:p>
    <w:p>
      <w:pPr>
        <w:pStyle w:val="ListParagraph"/>
        <w:numPr>
          <w:ilvl w:val="0"/>
          <w:numId w:val="2"/>
        </w:numPr>
        <w:spacing w:after="80"/>
      </w:pPr>
      <w:r>
        <w:t xml:space="preserve">In parallel, the background camera timer (every 30–40s) captures a frame, runs it through the on-device FER model, applies confidence filtering, and updates the EMA-smoothed facial mood signal.</w:t>
      </w:r>
    </w:p>
    <w:p>
      <w:pPr>
        <w:pStyle w:val="ListParagraph"/>
        <w:numPr>
          <w:ilvl w:val="0"/>
          <w:numId w:val="2"/>
        </w:numPr>
        <w:spacing w:after="80"/>
      </w:pPr>
      <w:r>
        <w:t xml:space="preserve">Module 3 fuses all three signals into a mood score and updates the chatbot's system prompt context.</w:t>
      </w:r>
    </w:p>
    <w:p>
      <w:pPr>
        <w:pStyle w:val="ListParagraph"/>
        <w:numPr>
          <w:ilvl w:val="0"/>
          <w:numId w:val="2"/>
        </w:numPr>
        <w:spacing w:after="80"/>
      </w:pPr>
      <w:r>
        <w:t xml:space="preserve">The backend calls the LLM API with the mood-conditioned prompt; the response is tone-adjusted accordingly.</w:t>
      </w:r>
    </w:p>
    <w:p>
      <w:pPr>
        <w:pStyle w:val="ListParagraph"/>
        <w:numPr>
          <w:ilvl w:val="0"/>
          <w:numId w:val="2"/>
        </w:numPr>
        <w:spacing w:after="80"/>
      </w:pPr>
      <w:r>
        <w:t xml:space="preserve">If the mood score crosses the distress threshold, the music recommendation banner is triggered.</w:t>
      </w:r>
    </w:p>
    <w:p>
      <w:pPr>
        <w:pStyle w:val="ListParagraph"/>
        <w:numPr>
          <w:ilvl w:val="0"/>
          <w:numId w:val="2"/>
        </w:numPr>
        <w:spacing w:after="80"/>
      </w:pPr>
      <w:r>
        <w:t xml:space="preserve">The response is displayed and saved locally; the updated mood score is available for the next exchange.</w:t>
      </w:r>
    </w:p>
    <w:p>
      <w:r>
        <w:br w:type="page"/>
      </w:r>
    </w:p>
    <w:p>
      <w:pPr>
        <w:pStyle w:val="Heading1"/>
        <w:spacing w:after="160" w:before="320"/>
      </w:pPr>
      <w:r>
        <w:t xml:space="preserve">8. Work Breakdown Structure (v2)</w:t>
      </w:r>
    </w:p>
    <w:p>
      <w:pPr>
        <w:spacing w:after="160"/>
      </w:pPr>
      <w:r>
        <w:t xml:space="preserve">Reinstating FER dataset preparation and model training returns the WBS to twelve tasks. Testing (T11) remains expanded relative to the original proposal to include deployment benchmarking, and now also covers FER accuracy measurement across head-pose conditions.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400"/>
        <w:gridCol w:w="1750"/>
      </w:tblGrid>
      <w:tr>
        <w:trPr>
          <w:tblHeader/>
        </w:trPr>
        <w:tc>
          <w:tcPr>
            <w:tcW w:type="dxa" w:w="700"/>
            <w:shd w:fill="E8DFF5" w:val="clear"/>
            <w:tcMar>
              <w:top w:type="dxa" w:w="80"/>
              <w:left w:type="dxa" w:w="100"/>
              <w:bottom w:type="dxa" w:w="80"/>
              <w:right w:type="dxa" w:w="100"/>
            </w:tcMar>
          </w:tcPr>
          <w:p>
            <w:r>
              <w:rPr>
                <w:b/>
                <w:bCs/>
                <w:sz w:val="19"/>
                <w:szCs w:val="19"/>
              </w:rPr>
              <w:t xml:space="preserve">ID</w:t>
            </w:r>
          </w:p>
        </w:tc>
        <w:tc>
          <w:tcPr>
            <w:tcW w:type="dxa" w:w="3500"/>
            <w:shd w:fill="E8DFF5" w:val="clear"/>
            <w:tcMar>
              <w:top w:type="dxa" w:w="80"/>
              <w:left w:type="dxa" w:w="100"/>
              <w:bottom w:type="dxa" w:w="80"/>
              <w:right w:type="dxa" w:w="100"/>
            </w:tcMar>
          </w:tcPr>
          <w:p>
            <w:r>
              <w:rPr>
                <w:b/>
                <w:bCs/>
                <w:sz w:val="19"/>
                <w:szCs w:val="19"/>
              </w:rPr>
              <w:t xml:space="preserve">Task</w:t>
            </w:r>
          </w:p>
        </w:tc>
        <w:tc>
          <w:tcPr>
            <w:tcW w:type="dxa" w:w="3400"/>
            <w:shd w:fill="E8DFF5" w:val="clear"/>
            <w:tcMar>
              <w:top w:type="dxa" w:w="80"/>
              <w:left w:type="dxa" w:w="100"/>
              <w:bottom w:type="dxa" w:w="80"/>
              <w:right w:type="dxa" w:w="100"/>
            </w:tcMar>
          </w:tcPr>
          <w:p>
            <w:r>
              <w:rPr>
                <w:b/>
                <w:bCs/>
                <w:sz w:val="19"/>
                <w:szCs w:val="19"/>
              </w:rPr>
              <w:t xml:space="preserve">Deliverable</w:t>
            </w:r>
          </w:p>
        </w:tc>
        <w:tc>
          <w:tcPr>
            <w:tcW w:type="dxa" w:w="1750"/>
            <w:shd w:fill="E8DFF5" w:val="clear"/>
            <w:tcMar>
              <w:top w:type="dxa" w:w="80"/>
              <w:left w:type="dxa" w:w="100"/>
              <w:bottom w:type="dxa" w:w="80"/>
              <w:right w:type="dxa" w:w="100"/>
            </w:tcMar>
          </w:tcPr>
          <w:p>
            <w:r>
              <w:rPr>
                <w:b/>
                <w:bCs/>
                <w:sz w:val="19"/>
                <w:szCs w:val="19"/>
              </w:rPr>
              <w:t xml:space="preserve">Timeline</w:t>
            </w:r>
          </w:p>
        </w:tc>
      </w:tr>
      <w:tr>
        <w:tc>
          <w:tcPr>
            <w:tcW w:type="dxa" w:w="700"/>
            <w:tcMar>
              <w:top w:type="dxa" w:w="80"/>
              <w:left w:type="dxa" w:w="100"/>
              <w:bottom w:type="dxa" w:w="80"/>
              <w:right w:type="dxa" w:w="100"/>
            </w:tcMar>
          </w:tcPr>
          <w:p>
            <w:r>
              <w:rPr>
                <w:b w:val="false"/>
                <w:bCs w:val="false"/>
                <w:sz w:val="19"/>
                <w:szCs w:val="19"/>
              </w:rPr>
              <w:t xml:space="preserve">T1</w:t>
            </w:r>
          </w:p>
        </w:tc>
        <w:tc>
          <w:tcPr>
            <w:tcW w:type="dxa" w:w="3500"/>
            <w:tcMar>
              <w:top w:type="dxa" w:w="80"/>
              <w:left w:type="dxa" w:w="100"/>
              <w:bottom w:type="dxa" w:w="80"/>
              <w:right w:type="dxa" w:w="100"/>
            </w:tcMar>
          </w:tcPr>
          <w:p>
            <w:r>
              <w:rPr>
                <w:b w:val="false"/>
                <w:bCs w:val="false"/>
                <w:sz w:val="19"/>
                <w:szCs w:val="19"/>
              </w:rPr>
              <w:t xml:space="preserve">Literature review &amp; gap analysis (verified sources)</w:t>
            </w:r>
          </w:p>
        </w:tc>
        <w:tc>
          <w:tcPr>
            <w:tcW w:type="dxa" w:w="3400"/>
            <w:tcMar>
              <w:top w:type="dxa" w:w="80"/>
              <w:left w:type="dxa" w:w="100"/>
              <w:bottom w:type="dxa" w:w="80"/>
              <w:right w:type="dxa" w:w="100"/>
            </w:tcMar>
          </w:tcPr>
          <w:p>
            <w:r>
              <w:rPr>
                <w:b w:val="false"/>
                <w:bCs w:val="false"/>
                <w:sz w:val="19"/>
                <w:szCs w:val="19"/>
              </w:rPr>
              <w:t xml:space="preserve">Sections 1.2–1.3 with real, verified citations</w:t>
            </w:r>
          </w:p>
        </w:tc>
        <w:tc>
          <w:tcPr>
            <w:tcW w:type="dxa" w:w="1750"/>
            <w:tcMar>
              <w:top w:type="dxa" w:w="80"/>
              <w:left w:type="dxa" w:w="100"/>
              <w:bottom w:type="dxa" w:w="80"/>
              <w:right w:type="dxa" w:w="100"/>
            </w:tcMar>
          </w:tcPr>
          <w:p>
            <w:r>
              <w:rPr>
                <w:b w:val="false"/>
                <w:bCs w:val="false"/>
                <w:sz w:val="19"/>
                <w:szCs w:val="19"/>
              </w:rPr>
              <w:t xml:space="preserve">Weeks 1–2</w:t>
            </w:r>
          </w:p>
        </w:tc>
      </w:tr>
      <w:tr>
        <w:tc>
          <w:tcPr>
            <w:tcW w:type="dxa" w:w="700"/>
            <w:tcMar>
              <w:top w:type="dxa" w:w="80"/>
              <w:left w:type="dxa" w:w="100"/>
              <w:bottom w:type="dxa" w:w="80"/>
              <w:right w:type="dxa" w:w="100"/>
            </w:tcMar>
          </w:tcPr>
          <w:p>
            <w:r>
              <w:rPr>
                <w:b w:val="false"/>
                <w:bCs w:val="false"/>
                <w:sz w:val="19"/>
                <w:szCs w:val="19"/>
              </w:rPr>
              <w:t xml:space="preserve">T2</w:t>
            </w:r>
          </w:p>
        </w:tc>
        <w:tc>
          <w:tcPr>
            <w:tcW w:type="dxa" w:w="3500"/>
            <w:tcMar>
              <w:top w:type="dxa" w:w="80"/>
              <w:left w:type="dxa" w:w="100"/>
              <w:bottom w:type="dxa" w:w="80"/>
              <w:right w:type="dxa" w:w="100"/>
            </w:tcMar>
          </w:tcPr>
          <w:p>
            <w:r>
              <w:rPr>
                <w:b w:val="false"/>
                <w:bCs w:val="false"/>
                <w:sz w:val="19"/>
                <w:szCs w:val="19"/>
              </w:rPr>
              <w:t xml:space="preserve">UI wireframes + AsyncStorage schema design</w:t>
            </w:r>
          </w:p>
        </w:tc>
        <w:tc>
          <w:tcPr>
            <w:tcW w:type="dxa" w:w="3400"/>
            <w:tcMar>
              <w:top w:type="dxa" w:w="80"/>
              <w:left w:type="dxa" w:w="100"/>
              <w:bottom w:type="dxa" w:w="80"/>
              <w:right w:type="dxa" w:w="100"/>
            </w:tcMar>
          </w:tcPr>
          <w:p>
            <w:r>
              <w:rPr>
                <w:b w:val="false"/>
                <w:bCs w:val="false"/>
                <w:sz w:val="19"/>
                <w:szCs w:val="19"/>
              </w:rPr>
              <w:t xml:space="preserve">Figma wireframes and storage schema diagram</w:t>
            </w:r>
          </w:p>
        </w:tc>
        <w:tc>
          <w:tcPr>
            <w:tcW w:type="dxa" w:w="1750"/>
            <w:tcMar>
              <w:top w:type="dxa" w:w="80"/>
              <w:left w:type="dxa" w:w="100"/>
              <w:bottom w:type="dxa" w:w="80"/>
              <w:right w:type="dxa" w:w="100"/>
            </w:tcMar>
          </w:tcPr>
          <w:p>
            <w:r>
              <w:rPr>
                <w:b w:val="false"/>
                <w:bCs w:val="false"/>
                <w:sz w:val="19"/>
                <w:szCs w:val="19"/>
              </w:rPr>
              <w:t xml:space="preserve">Week 3</w:t>
            </w:r>
          </w:p>
        </w:tc>
      </w:tr>
      <w:tr>
        <w:tc>
          <w:tcPr>
            <w:tcW w:type="dxa" w:w="700"/>
            <w:tcMar>
              <w:top w:type="dxa" w:w="80"/>
              <w:left w:type="dxa" w:w="100"/>
              <w:bottom w:type="dxa" w:w="80"/>
              <w:right w:type="dxa" w:w="100"/>
            </w:tcMar>
          </w:tcPr>
          <w:p>
            <w:r>
              <w:rPr>
                <w:b w:val="false"/>
                <w:bCs w:val="false"/>
                <w:sz w:val="19"/>
                <w:szCs w:val="19"/>
              </w:rPr>
              <w:t xml:space="preserve">T3</w:t>
            </w:r>
          </w:p>
        </w:tc>
        <w:tc>
          <w:tcPr>
            <w:tcW w:type="dxa" w:w="3500"/>
            <w:tcMar>
              <w:top w:type="dxa" w:w="80"/>
              <w:left w:type="dxa" w:w="100"/>
              <w:bottom w:type="dxa" w:w="80"/>
              <w:right w:type="dxa" w:w="100"/>
            </w:tcMar>
          </w:tcPr>
          <w:p>
            <w:r>
              <w:rPr>
                <w:b w:val="false"/>
                <w:bCs w:val="false"/>
                <w:sz w:val="19"/>
                <w:szCs w:val="19"/>
              </w:rPr>
              <w:t xml:space="preserve">FER dataset prep: FER-2013 + AffectNet, 3-class remap</w:t>
            </w:r>
          </w:p>
        </w:tc>
        <w:tc>
          <w:tcPr>
            <w:tcW w:type="dxa" w:w="3400"/>
            <w:tcMar>
              <w:top w:type="dxa" w:w="80"/>
              <w:left w:type="dxa" w:w="100"/>
              <w:bottom w:type="dxa" w:w="80"/>
              <w:right w:type="dxa" w:w="100"/>
            </w:tcMar>
          </w:tcPr>
          <w:p>
            <w:r>
              <w:rPr>
                <w:b w:val="false"/>
                <w:bCs w:val="false"/>
                <w:sz w:val="19"/>
                <w:szCs w:val="19"/>
              </w:rPr>
              <w:t xml:space="preserve">Preprocessed dataset and augmentation pipeline ready</w:t>
            </w:r>
          </w:p>
        </w:tc>
        <w:tc>
          <w:tcPr>
            <w:tcW w:type="dxa" w:w="1750"/>
            <w:tcMar>
              <w:top w:type="dxa" w:w="80"/>
              <w:left w:type="dxa" w:w="100"/>
              <w:bottom w:type="dxa" w:w="80"/>
              <w:right w:type="dxa" w:w="100"/>
            </w:tcMar>
          </w:tcPr>
          <w:p>
            <w:r>
              <w:rPr>
                <w:b w:val="false"/>
                <w:bCs w:val="false"/>
                <w:sz w:val="19"/>
                <w:szCs w:val="19"/>
              </w:rPr>
              <w:t xml:space="preserve">Weeks 3–4</w:t>
            </w:r>
          </w:p>
        </w:tc>
      </w:tr>
      <w:tr>
        <w:tc>
          <w:tcPr>
            <w:tcW w:type="dxa" w:w="700"/>
            <w:tcMar>
              <w:top w:type="dxa" w:w="80"/>
              <w:left w:type="dxa" w:w="100"/>
              <w:bottom w:type="dxa" w:w="80"/>
              <w:right w:type="dxa" w:w="100"/>
            </w:tcMar>
          </w:tcPr>
          <w:p>
            <w:r>
              <w:rPr>
                <w:b w:val="false"/>
                <w:bCs w:val="false"/>
                <w:sz w:val="19"/>
                <w:szCs w:val="19"/>
              </w:rPr>
              <w:t xml:space="preserve">T4</w:t>
            </w:r>
          </w:p>
        </w:tc>
        <w:tc>
          <w:tcPr>
            <w:tcW w:type="dxa" w:w="3500"/>
            <w:tcMar>
              <w:top w:type="dxa" w:w="80"/>
              <w:left w:type="dxa" w:w="100"/>
              <w:bottom w:type="dxa" w:w="80"/>
              <w:right w:type="dxa" w:w="100"/>
            </w:tcMar>
          </w:tcPr>
          <w:p>
            <w:r>
              <w:rPr>
                <w:b w:val="false"/>
                <w:bCs w:val="false"/>
                <w:sz w:val="19"/>
                <w:szCs w:val="19"/>
              </w:rPr>
              <w:t xml:space="preserve">FER model training (MobileNetV2 transfer learning) + TFLite export</w:t>
            </w:r>
          </w:p>
        </w:tc>
        <w:tc>
          <w:tcPr>
            <w:tcW w:type="dxa" w:w="3400"/>
            <w:tcMar>
              <w:top w:type="dxa" w:w="80"/>
              <w:left w:type="dxa" w:w="100"/>
              <w:bottom w:type="dxa" w:w="80"/>
              <w:right w:type="dxa" w:w="100"/>
            </w:tcMar>
          </w:tcPr>
          <w:p>
            <w:r>
              <w:rPr>
                <w:b w:val="false"/>
                <w:bCs w:val="false"/>
                <w:sz w:val="19"/>
                <w:szCs w:val="19"/>
              </w:rPr>
              <w:t xml:space="preserve">Trained .tflite model with evaluation accuracy report</w:t>
            </w:r>
          </w:p>
        </w:tc>
        <w:tc>
          <w:tcPr>
            <w:tcW w:type="dxa" w:w="1750"/>
            <w:tcMar>
              <w:top w:type="dxa" w:w="80"/>
              <w:left w:type="dxa" w:w="100"/>
              <w:bottom w:type="dxa" w:w="80"/>
              <w:right w:type="dxa" w:w="100"/>
            </w:tcMar>
          </w:tcPr>
          <w:p>
            <w:r>
              <w:rPr>
                <w:b w:val="false"/>
                <w:bCs w:val="false"/>
                <w:sz w:val="19"/>
                <w:szCs w:val="19"/>
              </w:rPr>
              <w:t xml:space="preserve">Weeks 4–6</w:t>
            </w:r>
          </w:p>
        </w:tc>
      </w:tr>
      <w:tr>
        <w:tc>
          <w:tcPr>
            <w:tcW w:type="dxa" w:w="700"/>
            <w:tcMar>
              <w:top w:type="dxa" w:w="80"/>
              <w:left w:type="dxa" w:w="100"/>
              <w:bottom w:type="dxa" w:w="80"/>
              <w:right w:type="dxa" w:w="100"/>
            </w:tcMar>
          </w:tcPr>
          <w:p>
            <w:r>
              <w:rPr>
                <w:b w:val="false"/>
                <w:bCs w:val="false"/>
                <w:sz w:val="19"/>
                <w:szCs w:val="19"/>
              </w:rPr>
              <w:t xml:space="preserve">T5</w:t>
            </w:r>
          </w:p>
        </w:tc>
        <w:tc>
          <w:tcPr>
            <w:tcW w:type="dxa" w:w="3500"/>
            <w:tcMar>
              <w:top w:type="dxa" w:w="80"/>
              <w:left w:type="dxa" w:w="100"/>
              <w:bottom w:type="dxa" w:w="80"/>
              <w:right w:type="dxa" w:w="100"/>
            </w:tcMar>
          </w:tcPr>
          <w:p>
            <w:r>
              <w:rPr>
                <w:b w:val="false"/>
                <w:bCs w:val="false"/>
                <w:sz w:val="19"/>
                <w:szCs w:val="19"/>
              </w:rPr>
              <w:t xml:space="preserve">Bilingual chatbot UI + camera capture integration</w:t>
            </w:r>
          </w:p>
        </w:tc>
        <w:tc>
          <w:tcPr>
            <w:tcW w:type="dxa" w:w="3400"/>
            <w:tcMar>
              <w:top w:type="dxa" w:w="80"/>
              <w:left w:type="dxa" w:w="100"/>
              <w:bottom w:type="dxa" w:w="80"/>
              <w:right w:type="dxa" w:w="100"/>
            </w:tcMar>
          </w:tcPr>
          <w:p>
            <w:r>
              <w:rPr>
                <w:b w:val="false"/>
                <w:bCs w:val="false"/>
                <w:sz w:val="19"/>
                <w:szCs w:val="19"/>
              </w:rPr>
              <w:t xml:space="preserve">Working chat screen with background camera capture</w:t>
            </w:r>
          </w:p>
        </w:tc>
        <w:tc>
          <w:tcPr>
            <w:tcW w:type="dxa" w:w="1750"/>
            <w:tcMar>
              <w:top w:type="dxa" w:w="80"/>
              <w:left w:type="dxa" w:w="100"/>
              <w:bottom w:type="dxa" w:w="80"/>
              <w:right w:type="dxa" w:w="100"/>
            </w:tcMar>
          </w:tcPr>
          <w:p>
            <w:r>
              <w:rPr>
                <w:b w:val="false"/>
                <w:bCs w:val="false"/>
                <w:sz w:val="19"/>
                <w:szCs w:val="19"/>
              </w:rPr>
              <w:t xml:space="preserve">Weeks 4–7</w:t>
            </w:r>
          </w:p>
        </w:tc>
      </w:tr>
      <w:tr>
        <w:tc>
          <w:tcPr>
            <w:tcW w:type="dxa" w:w="700"/>
            <w:tcMar>
              <w:top w:type="dxa" w:w="80"/>
              <w:left w:type="dxa" w:w="100"/>
              <w:bottom w:type="dxa" w:w="80"/>
              <w:right w:type="dxa" w:w="100"/>
            </w:tcMar>
          </w:tcPr>
          <w:p>
            <w:r>
              <w:rPr>
                <w:b w:val="false"/>
                <w:bCs w:val="false"/>
                <w:sz w:val="19"/>
                <w:szCs w:val="19"/>
              </w:rPr>
              <w:t xml:space="preserve">T6</w:t>
            </w:r>
          </w:p>
        </w:tc>
        <w:tc>
          <w:tcPr>
            <w:tcW w:type="dxa" w:w="3500"/>
            <w:tcMar>
              <w:top w:type="dxa" w:w="80"/>
              <w:left w:type="dxa" w:w="100"/>
              <w:bottom w:type="dxa" w:w="80"/>
              <w:right w:type="dxa" w:w="100"/>
            </w:tcMar>
          </w:tcPr>
          <w:p>
            <w:r>
              <w:rPr>
                <w:b w:val="false"/>
                <w:bCs w:val="false"/>
                <w:sz w:val="19"/>
                <w:szCs w:val="19"/>
              </w:rPr>
              <w:t xml:space="preserve">Text/behaviour mood detection (English DistilBERT + Sinhala lexicon)</w:t>
            </w:r>
          </w:p>
        </w:tc>
        <w:tc>
          <w:tcPr>
            <w:tcW w:type="dxa" w:w="3400"/>
            <w:tcMar>
              <w:top w:type="dxa" w:w="80"/>
              <w:left w:type="dxa" w:w="100"/>
              <w:bottom w:type="dxa" w:w="80"/>
              <w:right w:type="dxa" w:w="100"/>
            </w:tcMar>
          </w:tcPr>
          <w:p>
            <w:r>
              <w:rPr>
                <w:b w:val="false"/>
                <w:bCs w:val="false"/>
                <w:sz w:val="19"/>
                <w:szCs w:val="19"/>
              </w:rPr>
              <w:t xml:space="preserve">Working module producing text/behaviour mood signals</w:t>
            </w:r>
          </w:p>
        </w:tc>
        <w:tc>
          <w:tcPr>
            <w:tcW w:type="dxa" w:w="1750"/>
            <w:tcMar>
              <w:top w:type="dxa" w:w="80"/>
              <w:left w:type="dxa" w:w="100"/>
              <w:bottom w:type="dxa" w:w="80"/>
              <w:right w:type="dxa" w:w="100"/>
            </w:tcMar>
          </w:tcPr>
          <w:p>
            <w:r>
              <w:rPr>
                <w:b w:val="false"/>
                <w:bCs w:val="false"/>
                <w:sz w:val="19"/>
                <w:szCs w:val="19"/>
              </w:rPr>
              <w:t xml:space="preserve">Weeks 6–8</w:t>
            </w:r>
          </w:p>
        </w:tc>
      </w:tr>
      <w:tr>
        <w:tc>
          <w:tcPr>
            <w:tcW w:type="dxa" w:w="700"/>
            <w:tcMar>
              <w:top w:type="dxa" w:w="80"/>
              <w:left w:type="dxa" w:w="100"/>
              <w:bottom w:type="dxa" w:w="80"/>
              <w:right w:type="dxa" w:w="100"/>
            </w:tcMar>
          </w:tcPr>
          <w:p>
            <w:r>
              <w:rPr>
                <w:b w:val="false"/>
                <w:bCs w:val="false"/>
                <w:sz w:val="19"/>
                <w:szCs w:val="19"/>
              </w:rPr>
              <w:t xml:space="preserve">T7</w:t>
            </w:r>
          </w:p>
        </w:tc>
        <w:tc>
          <w:tcPr>
            <w:tcW w:type="dxa" w:w="3500"/>
            <w:tcMar>
              <w:top w:type="dxa" w:w="80"/>
              <w:left w:type="dxa" w:w="100"/>
              <w:bottom w:type="dxa" w:w="80"/>
              <w:right w:type="dxa" w:w="100"/>
            </w:tcMar>
          </w:tcPr>
          <w:p>
            <w:r>
              <w:rPr>
                <w:b w:val="false"/>
                <w:bCs w:val="false"/>
                <w:sz w:val="19"/>
                <w:szCs w:val="19"/>
              </w:rPr>
              <w:t xml:space="preserve">Mood fusion engine (3-way) + adaptive response logic</w:t>
            </w:r>
          </w:p>
        </w:tc>
        <w:tc>
          <w:tcPr>
            <w:tcW w:type="dxa" w:w="3400"/>
            <w:tcMar>
              <w:top w:type="dxa" w:w="80"/>
              <w:left w:type="dxa" w:w="100"/>
              <w:bottom w:type="dxa" w:w="80"/>
              <w:right w:type="dxa" w:w="100"/>
            </w:tcMar>
          </w:tcPr>
          <w:p>
            <w:r>
              <w:rPr>
                <w:b w:val="false"/>
                <w:bCs w:val="false"/>
                <w:sz w:val="19"/>
                <w:szCs w:val="19"/>
              </w:rPr>
              <w:t xml:space="preserve">Fusion layer outputting a mood score; tone adjusting correctly</w:t>
            </w:r>
          </w:p>
        </w:tc>
        <w:tc>
          <w:tcPr>
            <w:tcW w:type="dxa" w:w="1750"/>
            <w:tcMar>
              <w:top w:type="dxa" w:w="80"/>
              <w:left w:type="dxa" w:w="100"/>
              <w:bottom w:type="dxa" w:w="80"/>
              <w:right w:type="dxa" w:w="100"/>
            </w:tcMar>
          </w:tcPr>
          <w:p>
            <w:r>
              <w:rPr>
                <w:b w:val="false"/>
                <w:bCs w:val="false"/>
                <w:sz w:val="19"/>
                <w:szCs w:val="19"/>
              </w:rPr>
              <w:t xml:space="preserve">Weeks 8–9</w:t>
            </w:r>
          </w:p>
        </w:tc>
      </w:tr>
      <w:tr>
        <w:tc>
          <w:tcPr>
            <w:tcW w:type="dxa" w:w="700"/>
            <w:tcMar>
              <w:top w:type="dxa" w:w="80"/>
              <w:left w:type="dxa" w:w="100"/>
              <w:bottom w:type="dxa" w:w="80"/>
              <w:right w:type="dxa" w:w="100"/>
            </w:tcMar>
          </w:tcPr>
          <w:p>
            <w:r>
              <w:rPr>
                <w:b w:val="false"/>
                <w:bCs w:val="false"/>
                <w:sz w:val="19"/>
                <w:szCs w:val="19"/>
              </w:rPr>
              <w:t xml:space="preserve">T8</w:t>
            </w:r>
          </w:p>
        </w:tc>
        <w:tc>
          <w:tcPr>
            <w:tcW w:type="dxa" w:w="3500"/>
            <w:tcMar>
              <w:top w:type="dxa" w:w="80"/>
              <w:left w:type="dxa" w:w="100"/>
              <w:bottom w:type="dxa" w:w="80"/>
              <w:right w:type="dxa" w:w="100"/>
            </w:tcMar>
          </w:tcPr>
          <w:p>
            <w:r>
              <w:rPr>
                <w:b w:val="false"/>
                <w:bCs w:val="false"/>
                <w:sz w:val="19"/>
                <w:szCs w:val="19"/>
              </w:rPr>
              <w:t xml:space="preserve">Node.js backend + LLM integration (bilingual, mood-aware prompts)</w:t>
            </w:r>
          </w:p>
        </w:tc>
        <w:tc>
          <w:tcPr>
            <w:tcW w:type="dxa" w:w="3400"/>
            <w:tcMar>
              <w:top w:type="dxa" w:w="80"/>
              <w:left w:type="dxa" w:w="100"/>
              <w:bottom w:type="dxa" w:w="80"/>
              <w:right w:type="dxa" w:w="100"/>
            </w:tcMar>
          </w:tcPr>
          <w:p>
            <w:r>
              <w:rPr>
                <w:b w:val="false"/>
                <w:bCs w:val="false"/>
                <w:sz w:val="19"/>
                <w:szCs w:val="19"/>
              </w:rPr>
              <w:t xml:space="preserve">Functional chatbot backend responding per mood</w:t>
            </w:r>
          </w:p>
        </w:tc>
        <w:tc>
          <w:tcPr>
            <w:tcW w:type="dxa" w:w="1750"/>
            <w:tcMar>
              <w:top w:type="dxa" w:w="80"/>
              <w:left w:type="dxa" w:w="100"/>
              <w:bottom w:type="dxa" w:w="80"/>
              <w:right w:type="dxa" w:w="100"/>
            </w:tcMar>
          </w:tcPr>
          <w:p>
            <w:r>
              <w:rPr>
                <w:b w:val="false"/>
                <w:bCs w:val="false"/>
                <w:sz w:val="19"/>
                <w:szCs w:val="19"/>
              </w:rPr>
              <w:t xml:space="preserve">Weeks 9–10</w:t>
            </w:r>
          </w:p>
        </w:tc>
      </w:tr>
      <w:tr>
        <w:tc>
          <w:tcPr>
            <w:tcW w:type="dxa" w:w="700"/>
            <w:tcMar>
              <w:top w:type="dxa" w:w="80"/>
              <w:left w:type="dxa" w:w="100"/>
              <w:bottom w:type="dxa" w:w="80"/>
              <w:right w:type="dxa" w:w="100"/>
            </w:tcMar>
          </w:tcPr>
          <w:p>
            <w:r>
              <w:rPr>
                <w:b w:val="false"/>
                <w:bCs w:val="false"/>
                <w:sz w:val="19"/>
                <w:szCs w:val="19"/>
              </w:rPr>
              <w:t xml:space="preserve">T9</w:t>
            </w:r>
          </w:p>
        </w:tc>
        <w:tc>
          <w:tcPr>
            <w:tcW w:type="dxa" w:w="3500"/>
            <w:tcMar>
              <w:top w:type="dxa" w:w="80"/>
              <w:left w:type="dxa" w:w="100"/>
              <w:bottom w:type="dxa" w:w="80"/>
              <w:right w:type="dxa" w:w="100"/>
            </w:tcMar>
          </w:tcPr>
          <w:p>
            <w:r>
              <w:rPr>
                <w:b w:val="false"/>
                <w:bCs w:val="false"/>
                <w:sz w:val="19"/>
                <w:szCs w:val="19"/>
              </w:rPr>
              <w:t xml:space="preserve">Therapeutic music feature + offline playlist</w:t>
            </w:r>
          </w:p>
        </w:tc>
        <w:tc>
          <w:tcPr>
            <w:tcW w:type="dxa" w:w="3400"/>
            <w:tcMar>
              <w:top w:type="dxa" w:w="80"/>
              <w:left w:type="dxa" w:w="100"/>
              <w:bottom w:type="dxa" w:w="80"/>
              <w:right w:type="dxa" w:w="100"/>
            </w:tcMar>
          </w:tcPr>
          <w:p>
            <w:r>
              <w:rPr>
                <w:b w:val="false"/>
                <w:bCs w:val="false"/>
                <w:sz w:val="19"/>
                <w:szCs w:val="19"/>
              </w:rPr>
              <w:t xml:space="preserve">Working player with bundled tracks</w:t>
            </w:r>
          </w:p>
        </w:tc>
        <w:tc>
          <w:tcPr>
            <w:tcW w:type="dxa" w:w="1750"/>
            <w:tcMar>
              <w:top w:type="dxa" w:w="80"/>
              <w:left w:type="dxa" w:w="100"/>
              <w:bottom w:type="dxa" w:w="80"/>
              <w:right w:type="dxa" w:w="100"/>
            </w:tcMar>
          </w:tcPr>
          <w:p>
            <w:r>
              <w:rPr>
                <w:b w:val="false"/>
                <w:bCs w:val="false"/>
                <w:sz w:val="19"/>
                <w:szCs w:val="19"/>
              </w:rPr>
              <w:t xml:space="preserve">Week 10–11</w:t>
            </w:r>
          </w:p>
        </w:tc>
      </w:tr>
      <w:tr>
        <w:tc>
          <w:tcPr>
            <w:tcW w:type="dxa" w:w="700"/>
            <w:tcMar>
              <w:top w:type="dxa" w:w="80"/>
              <w:left w:type="dxa" w:w="100"/>
              <w:bottom w:type="dxa" w:w="80"/>
              <w:right w:type="dxa" w:w="100"/>
            </w:tcMar>
          </w:tcPr>
          <w:p>
            <w:r>
              <w:rPr>
                <w:b w:val="false"/>
                <w:bCs w:val="false"/>
                <w:sz w:val="19"/>
                <w:szCs w:val="19"/>
              </w:rPr>
              <w:t xml:space="preserve">T10</w:t>
            </w:r>
          </w:p>
        </w:tc>
        <w:tc>
          <w:tcPr>
            <w:tcW w:type="dxa" w:w="3500"/>
            <w:tcMar>
              <w:top w:type="dxa" w:w="80"/>
              <w:left w:type="dxa" w:w="100"/>
              <w:bottom w:type="dxa" w:w="80"/>
              <w:right w:type="dxa" w:w="100"/>
            </w:tcMar>
          </w:tcPr>
          <w:p>
            <w:r>
              <w:rPr>
                <w:b w:val="false"/>
                <w:bCs w:val="false"/>
                <w:sz w:val="19"/>
                <w:szCs w:val="19"/>
              </w:rPr>
              <w:t xml:space="preserve">Doctor-facing mood export (standalone JSON module)</w:t>
            </w:r>
          </w:p>
        </w:tc>
        <w:tc>
          <w:tcPr>
            <w:tcW w:type="dxa" w:w="3400"/>
            <w:tcMar>
              <w:top w:type="dxa" w:w="80"/>
              <w:left w:type="dxa" w:w="100"/>
              <w:bottom w:type="dxa" w:w="80"/>
              <w:right w:type="dxa" w:w="100"/>
            </w:tcMar>
          </w:tcPr>
          <w:p>
            <w:r>
              <w:rPr>
                <w:b w:val="false"/>
                <w:bCs w:val="false"/>
                <w:sz w:val="19"/>
                <w:szCs w:val="19"/>
              </w:rPr>
              <w:t xml:space="preserve">Mood history export, independent of doctor-side readiness</w:t>
            </w:r>
          </w:p>
        </w:tc>
        <w:tc>
          <w:tcPr>
            <w:tcW w:type="dxa" w:w="1750"/>
            <w:tcMar>
              <w:top w:type="dxa" w:w="80"/>
              <w:left w:type="dxa" w:w="100"/>
              <w:bottom w:type="dxa" w:w="80"/>
              <w:right w:type="dxa" w:w="100"/>
            </w:tcMar>
          </w:tcPr>
          <w:p>
            <w:r>
              <w:rPr>
                <w:b w:val="false"/>
                <w:bCs w:val="false"/>
                <w:sz w:val="19"/>
                <w:szCs w:val="19"/>
              </w:rPr>
              <w:t xml:space="preserve">Weeks 11–12</w:t>
            </w:r>
          </w:p>
        </w:tc>
      </w:tr>
      <w:tr>
        <w:tc>
          <w:tcPr>
            <w:tcW w:type="dxa" w:w="700"/>
            <w:tcMar>
              <w:top w:type="dxa" w:w="80"/>
              <w:left w:type="dxa" w:w="100"/>
              <w:bottom w:type="dxa" w:w="80"/>
              <w:right w:type="dxa" w:w="100"/>
            </w:tcMar>
          </w:tcPr>
          <w:p>
            <w:r>
              <w:rPr>
                <w:b w:val="false"/>
                <w:bCs w:val="false"/>
                <w:sz w:val="19"/>
                <w:szCs w:val="19"/>
              </w:rPr>
              <w:t xml:space="preserve">T11</w:t>
            </w:r>
          </w:p>
        </w:tc>
        <w:tc>
          <w:tcPr>
            <w:tcW w:type="dxa" w:w="3500"/>
            <w:tcMar>
              <w:top w:type="dxa" w:w="80"/>
              <w:left w:type="dxa" w:w="100"/>
              <w:bottom w:type="dxa" w:w="80"/>
              <w:right w:type="dxa" w:w="100"/>
            </w:tcMar>
          </w:tcPr>
          <w:p>
            <w:r>
              <w:rPr>
                <w:b w:val="false"/>
                <w:bCs w:val="false"/>
                <w:sz w:val="19"/>
                <w:szCs w:val="19"/>
              </w:rPr>
              <w:t xml:space="preserve">Integration testing, evaluation &amp; deployment benchmarking</w:t>
            </w:r>
          </w:p>
        </w:tc>
        <w:tc>
          <w:tcPr>
            <w:tcW w:type="dxa" w:w="3400"/>
            <w:tcMar>
              <w:top w:type="dxa" w:w="80"/>
              <w:left w:type="dxa" w:w="100"/>
              <w:bottom w:type="dxa" w:w="80"/>
              <w:right w:type="dxa" w:w="100"/>
            </w:tcMar>
          </w:tcPr>
          <w:p>
            <w:r>
              <w:rPr>
                <w:b w:val="false"/>
                <w:bCs w:val="false"/>
                <w:sz w:val="19"/>
                <w:szCs w:val="19"/>
              </w:rPr>
              <w:t xml:space="preserve">Test report covering Section 3.5 metrics, incl. FER accuracy by head-pose condition</w:t>
            </w:r>
          </w:p>
        </w:tc>
        <w:tc>
          <w:tcPr>
            <w:tcW w:type="dxa" w:w="1750"/>
            <w:tcMar>
              <w:top w:type="dxa" w:w="80"/>
              <w:left w:type="dxa" w:w="100"/>
              <w:bottom w:type="dxa" w:w="80"/>
              <w:right w:type="dxa" w:w="100"/>
            </w:tcMar>
          </w:tcPr>
          <w:p>
            <w:r>
              <w:rPr>
                <w:b w:val="false"/>
                <w:bCs w:val="false"/>
                <w:sz w:val="19"/>
                <w:szCs w:val="19"/>
              </w:rPr>
              <w:t xml:space="preserve">Weeks 12–13.5</w:t>
            </w:r>
          </w:p>
        </w:tc>
      </w:tr>
      <w:tr>
        <w:tc>
          <w:tcPr>
            <w:tcW w:type="dxa" w:w="700"/>
            <w:tcMar>
              <w:top w:type="dxa" w:w="80"/>
              <w:left w:type="dxa" w:w="100"/>
              <w:bottom w:type="dxa" w:w="80"/>
              <w:right w:type="dxa" w:w="100"/>
            </w:tcMar>
          </w:tcPr>
          <w:p>
            <w:r>
              <w:rPr>
                <w:b w:val="false"/>
                <w:bCs w:val="false"/>
                <w:sz w:val="19"/>
                <w:szCs w:val="19"/>
              </w:rPr>
              <w:t xml:space="preserve">T12</w:t>
            </w:r>
          </w:p>
        </w:tc>
        <w:tc>
          <w:tcPr>
            <w:tcW w:type="dxa" w:w="3500"/>
            <w:tcMar>
              <w:top w:type="dxa" w:w="80"/>
              <w:left w:type="dxa" w:w="100"/>
              <w:bottom w:type="dxa" w:w="80"/>
              <w:right w:type="dxa" w:w="100"/>
            </w:tcMar>
          </w:tcPr>
          <w:p>
            <w:r>
              <w:rPr>
                <w:b w:val="false"/>
                <w:bCs w:val="false"/>
                <w:sz w:val="19"/>
                <w:szCs w:val="19"/>
              </w:rPr>
              <w:t xml:space="preserve">Demo preparation &amp; dissertation writing</w:t>
            </w:r>
          </w:p>
        </w:tc>
        <w:tc>
          <w:tcPr>
            <w:tcW w:type="dxa" w:w="3400"/>
            <w:tcMar>
              <w:top w:type="dxa" w:w="80"/>
              <w:left w:type="dxa" w:w="100"/>
              <w:bottom w:type="dxa" w:w="80"/>
              <w:right w:type="dxa" w:w="100"/>
            </w:tcMar>
          </w:tcPr>
          <w:p>
            <w:r>
              <w:rPr>
                <w:b w:val="false"/>
                <w:bCs w:val="false"/>
                <w:sz w:val="19"/>
                <w:szCs w:val="19"/>
              </w:rPr>
              <w:t xml:space="preserve">Working live demo and completed written submission</w:t>
            </w:r>
          </w:p>
        </w:tc>
        <w:tc>
          <w:tcPr>
            <w:tcW w:type="dxa" w:w="1750"/>
            <w:tcMar>
              <w:top w:type="dxa" w:w="80"/>
              <w:left w:type="dxa" w:w="100"/>
              <w:bottom w:type="dxa" w:w="80"/>
              <w:right w:type="dxa" w:w="100"/>
            </w:tcMar>
          </w:tcPr>
          <w:p>
            <w:r>
              <w:rPr>
                <w:b w:val="false"/>
                <w:bCs w:val="false"/>
                <w:sz w:val="19"/>
                <w:szCs w:val="19"/>
              </w:rPr>
              <w:t xml:space="preserve">Weeks 13.5–14</w:t>
            </w:r>
          </w:p>
        </w:tc>
      </w:tr>
    </w:tbl>
    <w:p>
      <w:pPr>
        <w:pStyle w:val="Heading1"/>
        <w:spacing w:after="160" w:before="320"/>
      </w:pPr>
      <w:r>
        <w:t xml:space="preserve">9. Gantt Chart (v2)</w:t>
      </w:r>
    </w:p>
    <w:p>
      <w:pPr>
        <w:spacing w:after="8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43250"/>
                    </a:xfrm>
                    <a:prstGeom prst="rect">
                      <a:avLst/>
                    </a:prstGeom>
                  </pic:spPr>
                </pic:pic>
              </a:graphicData>
            </a:graphic>
          </wp:inline>
        </w:drawing>
      </w:r>
    </w:p>
    <w:p>
      <w:pPr>
        <w:spacing w:after="240"/>
        <w:jc w:val="center"/>
      </w:pPr>
      <w:r>
        <w:rPr>
          <w:i/>
          <w:iCs/>
          <w:color w:val="555555"/>
          <w:sz w:val="18"/>
          <w:szCs w:val="18"/>
        </w:rPr>
        <w:t xml:space="preserve">Figure 2 — Revised 14-week timeline, 12 tasks, FER training compressed into Weeks 4–6.</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9350"/>
      </w:tblGrid>
      <w:tr>
        <w:tc>
          <w:tcPr>
            <w:tcW w:type="dxa" w:w="9350"/>
            <w:shd w:fill="FFE8D6" w:val="clear"/>
            <w:tcMar>
              <w:top w:type="dxa" w:w="140"/>
              <w:left w:type="dxa" w:w="180"/>
              <w:bottom w:type="dxa" w:w="140"/>
              <w:right w:type="dxa" w:w="180"/>
            </w:tcMar>
          </w:tcPr>
          <w:p>
            <w:pPr>
              <w:spacing w:after="60"/>
            </w:pPr>
            <w:r>
              <w:rPr>
                <w:b/>
                <w:bCs/>
                <w:sz w:val="20"/>
                <w:szCs w:val="20"/>
              </w:rPr>
              <w:t xml:space="preserve">A note on timeline pressure</w:t>
            </w:r>
          </w:p>
          <w:p>
            <w:r>
              <w:rPr>
                <w:sz w:val="20"/>
                <w:szCs w:val="20"/>
              </w:rPr>
              <w:t xml:space="preserve">T4 (FER training) and T5 (UI/camera integration) now run concurrently to fit fourteen weeks, which is tight for a single author. If FER training overruns — a real possibility, since transfer learning convergence time is not fully predictable in advance — the most defensible fallback is to demo with a documented accuracy figure below the 65% target rather than delay other modules, and to state the shortfall honestly in the evaluation section rather than not reporting it. Flagging this now, before it happens, is worth doing openly with your supervisor.</w:t>
            </w:r>
          </w:p>
        </w:tc>
      </w:tr>
    </w:tbl>
    <w:p>
      <w:r>
        <w:br w:type="page"/>
      </w:r>
    </w:p>
    <w:p>
      <w:pPr>
        <w:pStyle w:val="Heading1"/>
        <w:spacing w:after="160" w:before="320"/>
      </w:pPr>
      <w:r>
        <w:t xml:space="preserve">Appendix D — Risk Analysis (v2, FER items reinstated)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400"/>
        <w:gridCol w:w="1200"/>
        <w:gridCol w:w="3250"/>
      </w:tblGrid>
      <w:tr>
        <w:trPr>
          <w:tblHeader/>
        </w:trPr>
        <w:tc>
          <w:tcPr>
            <w:tcW w:type="dxa" w:w="500"/>
            <w:shd w:fill="E8DFF5" w:val="clear"/>
            <w:tcMar>
              <w:top w:type="dxa" w:w="80"/>
              <w:left w:type="dxa" w:w="100"/>
              <w:bottom w:type="dxa" w:w="80"/>
              <w:right w:type="dxa" w:w="100"/>
            </w:tcMar>
          </w:tcPr>
          <w:p>
            <w:r>
              <w:rPr>
                <w:b/>
                <w:bCs/>
                <w:sz w:val="19"/>
                <w:szCs w:val="19"/>
              </w:rPr>
              <w:t xml:space="preserve">#</w:t>
            </w:r>
          </w:p>
        </w:tc>
        <w:tc>
          <w:tcPr>
            <w:tcW w:type="dxa" w:w="3000"/>
            <w:shd w:fill="E8DFF5" w:val="clear"/>
            <w:tcMar>
              <w:top w:type="dxa" w:w="80"/>
              <w:left w:type="dxa" w:w="100"/>
              <w:bottom w:type="dxa" w:w="80"/>
              <w:right w:type="dxa" w:w="100"/>
            </w:tcMar>
          </w:tcPr>
          <w:p>
            <w:r>
              <w:rPr>
                <w:b/>
                <w:bCs/>
                <w:sz w:val="19"/>
                <w:szCs w:val="19"/>
              </w:rPr>
              <w:t xml:space="preserve">Risk</w:t>
            </w:r>
          </w:p>
        </w:tc>
        <w:tc>
          <w:tcPr>
            <w:tcW w:type="dxa" w:w="1400"/>
            <w:shd w:fill="E8DFF5" w:val="clear"/>
            <w:tcMar>
              <w:top w:type="dxa" w:w="80"/>
              <w:left w:type="dxa" w:w="100"/>
              <w:bottom w:type="dxa" w:w="80"/>
              <w:right w:type="dxa" w:w="100"/>
            </w:tcMar>
          </w:tcPr>
          <w:p>
            <w:r>
              <w:rPr>
                <w:b/>
                <w:bCs/>
                <w:sz w:val="19"/>
                <w:szCs w:val="19"/>
              </w:rPr>
              <w:t xml:space="preserve">Likelihood</w:t>
            </w:r>
          </w:p>
        </w:tc>
        <w:tc>
          <w:tcPr>
            <w:tcW w:type="dxa" w:w="1200"/>
            <w:shd w:fill="E8DFF5" w:val="clear"/>
            <w:tcMar>
              <w:top w:type="dxa" w:w="80"/>
              <w:left w:type="dxa" w:w="100"/>
              <w:bottom w:type="dxa" w:w="80"/>
              <w:right w:type="dxa" w:w="100"/>
            </w:tcMar>
          </w:tcPr>
          <w:p>
            <w:r>
              <w:rPr>
                <w:b/>
                <w:bCs/>
                <w:sz w:val="19"/>
                <w:szCs w:val="19"/>
              </w:rPr>
              <w:t xml:space="preserve">Impact</w:t>
            </w:r>
          </w:p>
        </w:tc>
        <w:tc>
          <w:tcPr>
            <w:tcW w:type="dxa" w:w="3250"/>
            <w:shd w:fill="E8DFF5" w:val="clear"/>
            <w:tcMar>
              <w:top w:type="dxa" w:w="80"/>
              <w:left w:type="dxa" w:w="100"/>
              <w:bottom w:type="dxa" w:w="80"/>
              <w:right w:type="dxa" w:w="100"/>
            </w:tcMar>
          </w:tcPr>
          <w:p>
            <w:r>
              <w:rPr>
                <w:b/>
                <w:bCs/>
                <w:sz w:val="19"/>
                <w:szCs w:val="19"/>
              </w:rPr>
              <w:t xml:space="preserve">Mitigation</w:t>
            </w:r>
          </w:p>
        </w:tc>
      </w:tr>
      <w:tr>
        <w:tc>
          <w:tcPr>
            <w:tcW w:type="dxa" w:w="500"/>
            <w:tcMar>
              <w:top w:type="dxa" w:w="80"/>
              <w:left w:type="dxa" w:w="100"/>
              <w:bottom w:type="dxa" w:w="80"/>
              <w:right w:type="dxa" w:w="100"/>
            </w:tcMar>
          </w:tcPr>
          <w:p>
            <w:r>
              <w:rPr>
                <w:b w:val="false"/>
                <w:bCs w:val="false"/>
                <w:sz w:val="19"/>
                <w:szCs w:val="19"/>
              </w:rPr>
              <w:t xml:space="preserve">R1</w:t>
            </w:r>
          </w:p>
        </w:tc>
        <w:tc>
          <w:tcPr>
            <w:tcW w:type="dxa" w:w="3000"/>
            <w:tcMar>
              <w:top w:type="dxa" w:w="80"/>
              <w:left w:type="dxa" w:w="100"/>
              <w:bottom w:type="dxa" w:w="80"/>
              <w:right w:type="dxa" w:w="100"/>
            </w:tcMar>
          </w:tcPr>
          <w:p>
            <w:r>
              <w:rPr>
                <w:b w:val="false"/>
                <w:bCs w:val="false"/>
                <w:sz w:val="19"/>
                <w:szCs w:val="19"/>
              </w:rPr>
              <w:t xml:space="preserve">FER accuracy stays below 65% on 3-class output, particularly at off-angle head poses</w:t>
            </w:r>
          </w:p>
        </w:tc>
        <w:tc>
          <w:tcPr>
            <w:tcW w:type="dxa" w:w="1400"/>
            <w:tcMar>
              <w:top w:type="dxa" w:w="80"/>
              <w:left w:type="dxa" w:w="100"/>
              <w:bottom w:type="dxa" w:w="80"/>
              <w:right w:type="dxa" w:w="100"/>
            </w:tcMar>
          </w:tcPr>
          <w:p>
            <w:r>
              <w:rPr>
                <w:b w:val="false"/>
                <w:bCs w:val="false"/>
                <w:sz w:val="19"/>
                <w:szCs w:val="19"/>
              </w:rPr>
              <w:t xml:space="preserve">Medium–High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3250"/>
            <w:tcMar>
              <w:top w:type="dxa" w:w="80"/>
              <w:left w:type="dxa" w:w="100"/>
              <w:bottom w:type="dxa" w:w="80"/>
              <w:right w:type="dxa" w:w="100"/>
            </w:tcMar>
          </w:tcPr>
          <w:p>
            <w:r>
              <w:rPr>
                <w:b w:val="false"/>
                <w:bCs w:val="false"/>
                <w:sz w:val="19"/>
                <w:szCs w:val="19"/>
              </w:rPr>
              <w:t xml:space="preserve">Confidence-threshold filtering and EMA smoothing (Section 3.2.2); report accuracy separately for frontal vs. off-angle subsets rather than a single blended figure; heavier augmentation and EfficientNet-Lite as a fallback architecture if MobileNetV2 underperforms</w:t>
            </w:r>
          </w:p>
        </w:tc>
      </w:tr>
      <w:tr>
        <w:tc>
          <w:tcPr>
            <w:tcW w:type="dxa" w:w="500"/>
            <w:tcMar>
              <w:top w:type="dxa" w:w="80"/>
              <w:left w:type="dxa" w:w="100"/>
              <w:bottom w:type="dxa" w:w="80"/>
              <w:right w:type="dxa" w:w="100"/>
            </w:tcMar>
          </w:tcPr>
          <w:p>
            <w:r>
              <w:rPr>
                <w:b w:val="false"/>
                <w:bCs w:val="false"/>
                <w:sz w:val="19"/>
                <w:szCs w:val="19"/>
              </w:rPr>
              <w:t xml:space="preserve">R6</w:t>
            </w:r>
          </w:p>
        </w:tc>
        <w:tc>
          <w:tcPr>
            <w:tcW w:type="dxa" w:w="3000"/>
            <w:tcMar>
              <w:top w:type="dxa" w:w="80"/>
              <w:left w:type="dxa" w:w="100"/>
              <w:bottom w:type="dxa" w:w="80"/>
              <w:right w:type="dxa" w:w="100"/>
            </w:tcMar>
          </w:tcPr>
          <w:p>
            <w:r>
              <w:rPr>
                <w:b w:val="false"/>
                <w:bCs w:val="false"/>
                <w:sz w:val="19"/>
                <w:szCs w:val="19"/>
              </w:rPr>
              <w:t xml:space="preserve">Users uncomfortable with camera access given Sri Lankan privacy norms</w:t>
            </w:r>
          </w:p>
        </w:tc>
        <w:tc>
          <w:tcPr>
            <w:tcW w:type="dxa" w:w="140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3250"/>
            <w:tcMar>
              <w:top w:type="dxa" w:w="80"/>
              <w:left w:type="dxa" w:w="100"/>
              <w:bottom w:type="dxa" w:w="80"/>
              <w:right w:type="dxa" w:w="100"/>
            </w:tcMar>
          </w:tcPr>
          <w:p>
            <w:r>
              <w:rPr>
                <w:b w:val="false"/>
                <w:bCs w:val="false"/>
                <w:sz w:val="19"/>
                <w:szCs w:val="19"/>
              </w:rPr>
              <w:t xml:space="preserve">Clear bilingual consent screen before first use; visible indicator when camera is active; one-tap disable toggle that falls back to text + behaviour signals only, not a full feature loss</w:t>
            </w:r>
          </w:p>
        </w:tc>
      </w:tr>
      <w:tr>
        <w:tc>
          <w:tcPr>
            <w:tcW w:type="dxa" w:w="500"/>
            <w:tcMar>
              <w:top w:type="dxa" w:w="80"/>
              <w:left w:type="dxa" w:w="100"/>
              <w:bottom w:type="dxa" w:w="80"/>
              <w:right w:type="dxa" w:w="100"/>
            </w:tcMar>
          </w:tcPr>
          <w:p>
            <w:r>
              <w:rPr>
                <w:b w:val="false"/>
                <w:bCs w:val="false"/>
                <w:sz w:val="19"/>
                <w:szCs w:val="19"/>
              </w:rPr>
              <w:t xml:space="preserve">R9</w:t>
            </w:r>
          </w:p>
        </w:tc>
        <w:tc>
          <w:tcPr>
            <w:tcW w:type="dxa" w:w="3000"/>
            <w:tcMar>
              <w:top w:type="dxa" w:w="80"/>
              <w:left w:type="dxa" w:w="100"/>
              <w:bottom w:type="dxa" w:w="80"/>
              <w:right w:type="dxa" w:w="100"/>
            </w:tcMar>
          </w:tcPr>
          <w:p>
            <w:r>
              <w:rPr>
                <w:b w:val="false"/>
                <w:bCs w:val="false"/>
                <w:sz w:val="19"/>
                <w:szCs w:val="19"/>
              </w:rPr>
              <w:t xml:space="preserve">FER model biased toward lighter skin tones in training data</w:t>
            </w:r>
          </w:p>
        </w:tc>
        <w:tc>
          <w:tcPr>
            <w:tcW w:type="dxa" w:w="1400"/>
            <w:tcMar>
              <w:top w:type="dxa" w:w="80"/>
              <w:left w:type="dxa" w:w="100"/>
              <w:bottom w:type="dxa" w:w="80"/>
              <w:right w:type="dxa" w:w="100"/>
            </w:tcMar>
          </w:tcPr>
          <w:p>
            <w:r>
              <w:rPr>
                <w:b w:val="false"/>
                <w:bCs w:val="false"/>
                <w:sz w:val="19"/>
                <w:szCs w:val="19"/>
              </w:rPr>
              <w:t xml:space="preserve">Medium</w:t>
            </w:r>
          </w:p>
        </w:tc>
        <w:tc>
          <w:tcPr>
            <w:tcW w:type="dxa" w:w="1200"/>
            <w:tcMar>
              <w:top w:type="dxa" w:w="80"/>
              <w:left w:type="dxa" w:w="100"/>
              <w:bottom w:type="dxa" w:w="80"/>
              <w:right w:type="dxa" w:w="100"/>
            </w:tcMar>
          </w:tcPr>
          <w:p>
            <w:r>
              <w:rPr>
                <w:b w:val="false"/>
                <w:bCs w:val="false"/>
                <w:sz w:val="19"/>
                <w:szCs w:val="19"/>
              </w:rPr>
              <w:t xml:space="preserve">High</w:t>
            </w:r>
          </w:p>
        </w:tc>
        <w:tc>
          <w:tcPr>
            <w:tcW w:type="dxa" w:w="3250"/>
            <w:tcMar>
              <w:top w:type="dxa" w:w="80"/>
              <w:left w:type="dxa" w:w="100"/>
              <w:bottom w:type="dxa" w:w="80"/>
              <w:right w:type="dxa" w:w="100"/>
            </w:tcMar>
          </w:tcPr>
          <w:p>
            <w:r>
              <w:rPr>
                <w:b w:val="false"/>
                <w:bCs w:val="false"/>
                <w:sz w:val="19"/>
                <w:szCs w:val="19"/>
              </w:rPr>
              <w:t xml:space="preserve">Deliberately test with participants of diverse Sri Lankan ethnicities during usability testing; apply skin-tone-aware augmentation during fine-tuning</w:t>
            </w:r>
          </w:p>
        </w:tc>
      </w:tr>
    </w:tbl>
    <w:p>
      <w:pPr>
        <w:pStyle w:val="Heading1"/>
        <w:spacing w:after="160" w:before="320"/>
      </w:pPr>
      <w:r>
        <w:t xml:space="preserve">Budget Adjustment</w:t>
      </w:r>
    </w:p>
    <w:p>
      <w:pPr>
        <w:spacing w:after="160"/>
      </w:pPr>
      <w:r>
        <w:t xml:space="preserve">Reinstating FER training restores the Google Colab Pro line item removed in the text-only revision. Revised total: approximately LKR 44,000 (matching the original proposal's budget, since the training pipeline is now the same as originally planned).</w:t>
      </w:r>
    </w:p>
    <w:p>
      <w:r>
        <w:br w:type="page"/>
      </w:r>
    </w:p>
    <w:p>
      <w:pPr>
        <w:pStyle w:val="Heading1"/>
        <w:spacing w:after="160" w:before="320"/>
      </w:pPr>
      <w:r>
        <w:t xml:space="preserve">Outstanding Items</w:t>
      </w:r>
    </w:p>
    <w:p>
      <w:pPr>
        <w:pStyle w:val="ListParagraph"/>
        <w:numPr>
          <w:ilvl w:val="0"/>
          <w:numId w:val="2"/>
        </w:numPr>
        <w:spacing w:after="80"/>
      </w:pPr>
      <w:r>
        <w:t xml:space="preserve">Verification of the Sunitha &amp; Nalini (2022) music-therapy citation and the Chathuranga, Lorensuhewa &amp; Kalyani (2019) Sinhala lexicon citation — referenced but not yet independently re-confirmed in this specific revision.</w:t>
      </w:r>
    </w:p>
    <w:p>
      <w:pPr>
        <w:pStyle w:val="ListParagraph"/>
        <w:numPr>
          <w:ilvl w:val="0"/>
          <w:numId w:val="2"/>
        </w:numPr>
        <w:spacing w:after="80"/>
      </w:pPr>
      <w:r>
        <w:t xml:space="preserve">The FER accuracy target (≥65%) is carried over from the original proposal; it has not been empirically validated against phone-holding head-pose conditions specifically, and Section 3.5's split-by-pose measurement is designed to surface the real number rather than assume it.</w:t>
      </w:r>
    </w:p>
    <w:p>
      <w:pPr>
        <w:pStyle w:val="ListParagraph"/>
        <w:numPr>
          <w:ilvl w:val="0"/>
          <w:numId w:val="2"/>
        </w:numPr>
        <w:spacing w:after="80"/>
      </w:pPr>
      <w:r>
        <w:t xml:space="preserve">Appendix E (Ethical Documents) — the privacy notice must explicitly cover camera access again (bilingual, before first use), reversing the simplification made in the text-only revision.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1900efeec4f2bb38e2d216426358de74909480.png"/><Relationship Id="rId8" Type="http://schemas.openxmlformats.org/officeDocument/2006/relationships/image" Target="media/06d87b2a02bf890c6b5a3a6f48affce828c65fd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2026-08-17T21:57:02.442Z</dcterms:created>
  <dcterms:modified xsi:type="dcterms:W3CDTF">2026-08-17T21:57:02.456Z</dcterms:modified>
</cp:coreProperties>
</file>

<file path=docProps/custom.xml><?xml version="1.0" encoding="utf-8"?>
<Properties xmlns="http://schemas.openxmlformats.org/officeDocument/2006/custom-properties" xmlns:vt="http://schemas.openxmlformats.org/officeDocument/2006/docPropsVTypes"/>
</file>