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IT22638168 — Behavioural Signal Decision Memo</w:t>
      </w:r>
    </w:p>
    <w:p>
      <w:pPr>
        <w:jc w:val="center"/>
      </w:pPr>
      <w:r>
        <w:rPr>
          <w:i/>
          <w:sz w:val="20"/>
        </w:rPr>
        <w:t>Literature-based decision: typing speed + response delay</w:t>
      </w:r>
    </w:p>
    <w:p>
      <w:r>
        <w:rPr>
          <w:b/>
        </w:rPr>
        <w:t xml:space="preserve">Decision: </w:t>
      </w:r>
      <w:r>
        <w:t>REMOVE behavioural signals from the core mood-fusion score for the current build; retain them only as optional telemetry/ablation data if the client still requires them to be observed.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Epp et al. (2011) showed that keystroke features can classify several emotional states, but the work used a standard keyboard and self-reported field data.</w:t>
      </w:r>
    </w:p>
    <w:p>
      <w:pPr>
        <w:pStyle w:val="ListBullet"/>
      </w:pPr>
      <w:r>
        <w:t>Lee et al. (2015) found statistically significant effects of emotion on keystroke duration/latency, but explicitly reported that the emotional effect was small compared with individual variability.</w:t>
      </w:r>
    </w:p>
    <w:p>
      <w:pPr>
        <w:pStyle w:val="ListBullet"/>
      </w:pPr>
      <w:r>
        <w:t>Ghosh et al. (2019) demonstrated smartphone touch-based emotion detection with an average AUCROC of 73%, but the system was personalized and performance depended heavily on individual training data.</w:t>
      </w:r>
    </w:p>
    <w:p>
      <w:pPr>
        <w:pStyle w:val="ListBullet"/>
      </w:pPr>
      <w:r>
        <w:t>Eisele et al. (2021) found subtle systematic affect changes associated with response delay, but the study did not establish a per-message chatbot mood classifier.</w:t>
      </w:r>
    </w:p>
    <w:p>
      <w:pPr>
        <w:pStyle w:val="ListBullet"/>
      </w:pPr>
      <w:r>
        <w:t>Kołakowska (2016) and Lau (2018) provide additional proof-of-concept evidence, but in controlled or constrained settings.</w:t>
      </w:r>
    </w:p>
    <w:p>
      <w:pPr>
        <w:pStyle w:val="Heading1"/>
      </w:pPr>
      <w:r>
        <w:t>Why this matters for our architecture</w:t>
      </w:r>
    </w:p>
    <w:p>
      <w:pPr>
        <w:pStyle w:val="ListBullet"/>
      </w:pPr>
      <w:r>
        <w:t>A fixed 15% behavioural weight is not strongly grounded by an independent accuracy benchmark comparable to our FER and text-sentiment targets.</w:t>
      </w:r>
    </w:p>
    <w:p>
      <w:pPr>
        <w:pStyle w:val="ListBullet"/>
      </w:pPr>
      <w:r>
        <w:t>Mobile behavioural signals are highly user-dependent; personalization would add a calibration/data-collection requirement.</w:t>
      </w:r>
    </w:p>
    <w:p>
      <w:pPr>
        <w:pStyle w:val="ListBullet"/>
      </w:pPr>
      <w:r>
        <w:t>Response delay is strongly affected by context and may reflect interruption, task demands, connectivity, or attention rather than distress.</w:t>
      </w:r>
    </w:p>
    <w:p>
      <w:pPr>
        <w:pStyle w:val="ListBullet"/>
      </w:pPr>
      <w:r>
        <w:t>Removing behaviour does not remove multimodality: facial vision + bilingual NLP remains a genuine two-modality emotion-recognition system.</w:t>
      </w:r>
    </w:p>
    <w:p>
      <w:pPr>
        <w:pStyle w:val="ListBullet"/>
      </w:pPr>
      <w:r>
        <w:t>The product loses little visible functionality because users do not directly experience behavioural sensing as a feature.</w:t>
      </w:r>
    </w:p>
    <w:p>
      <w:pPr>
        <w:pStyle w:val="Heading1"/>
      </w:pPr>
      <w:r>
        <w:t>Recommended architecture</w:t>
      </w:r>
    </w:p>
    <w:p>
      <w:r>
        <w:t>Core mood score = Facial signal + bilingual text sentiment. Behavioural timestamps may be logged separately for exploratory analysis, but they should not change chatbot tone in the core system.</w:t>
      </w:r>
    </w:p>
    <w:p>
      <w:pPr>
        <w:pStyle w:val="Heading1"/>
      </w:pPr>
      <w:r>
        <w:t>Required proposal/evaluation changes</w:t>
      </w:r>
    </w:p>
    <w:p>
      <w:pPr>
        <w:pStyle w:val="ListBullet"/>
      </w:pPr>
      <w:r>
        <w:t>Replace the 45/40/15 fusion description with a two-modality fusion design and define weights from measured validation performance or a justified tuning procedure.</w:t>
      </w:r>
    </w:p>
    <w:p>
      <w:pPr>
        <w:pStyle w:val="ListBullet"/>
      </w:pPr>
      <w:r>
        <w:t>Remove behavioural accuracy as a core success criterion.</w:t>
      </w:r>
    </w:p>
    <w:p>
      <w:pPr>
        <w:pStyle w:val="ListBullet"/>
      </w:pPr>
      <w:r>
        <w:t>If telemetry is retained, evaluate it as an exploratory/ablation analysis against participant self-report rather than as a load-bearing classifier.</w:t>
      </w:r>
    </w:p>
    <w:p>
      <w:pPr>
        <w:pStyle w:val="ListBullet"/>
      </w:pPr>
      <w:r>
        <w:t>Update the research-gap statement from 'three-signal passive mood detection' to 'bilingual text + facial-expression multimodal mood inference for pregnancy support'.</w:t>
      </w:r>
    </w:p>
    <w:p>
      <w:pPr>
        <w:pStyle w:val="ListBullet"/>
      </w:pPr>
      <w:r>
        <w:t>Keep the client-facing requirement traceability explicit: behavioural telemetry can be retained without letting it drive safety-sensitive adaptive responses.</w:t>
      </w:r>
    </w:p>
    <w:p>
      <w:pPr>
        <w:pStyle w:val="Heading1"/>
      </w:pPr>
      <w:r>
        <w:t>Confidence</w:t>
      </w:r>
    </w:p>
    <w:p>
      <w:r>
        <w:t>High confidence for the engineering recommendation; moderate confidence for the research novelty claim because a broader database search should still be completed before making a 'first' or 'unique'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