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IT22638168 — Behavioural Signal Decision Memo</w:t>
      </w:r>
    </w:p>
    <w:p>
      <w:r>
        <w:t>Literature-driven architecture decision | August 2026</w:t>
      </w:r>
    </w:p>
    <w:p>
      <w:pPr>
        <w:pStyle w:val="Heading1"/>
      </w:pPr>
      <w:r>
        <w:t>Decision</w:t>
      </w:r>
    </w:p>
    <w:p>
      <w:r>
        <w:t>REMOVE typing speed and response delay from the core mood-fusion score. If required, retain timestamps as optional telemetry/ablation variables only.</w:t>
      </w:r>
    </w:p>
    <w:p>
      <w:pPr>
        <w:pStyle w:val="Heading1"/>
      </w:pPr>
      <w:r>
        <w:t>Evidence Summary</w:t>
      </w:r>
    </w:p>
    <w:p>
      <w:pPr>
        <w:pStyle w:val="ListBullet"/>
      </w:pPr>
      <w:r>
        <w:t>Epp et al. (2011) demonstrated keystroke-based emotion classification using standard keyboard data.</w:t>
      </w:r>
    </w:p>
    <w:p>
      <w:pPr>
        <w:pStyle w:val="ListBullet"/>
      </w:pPr>
      <w:r>
        <w:t>Lee et al. (2015) found emotion-related typing effects but noted small effects relative to individual variability.</w:t>
      </w:r>
    </w:p>
    <w:p>
      <w:pPr>
        <w:pStyle w:val="ListBullet"/>
      </w:pPr>
      <w:r>
        <w:t>Ghosh et al. (2019) reported smartphone touch-based emotion detection with average AUCROC around 73%, with personalized models and individual-training dependence.</w:t>
      </w:r>
    </w:p>
    <w:p>
      <w:pPr>
        <w:pStyle w:val="ListBullet"/>
      </w:pPr>
      <w:r>
        <w:t>Eisele et al. (2021) found affect associations with response delay but did not establish a per-message pregnancy-chatbot classifier.</w:t>
      </w:r>
    </w:p>
    <w:p>
      <w:pPr>
        <w:pStyle w:val="Heading1"/>
      </w:pPr>
      <w:r>
        <w:t>Updated Core Architecture</w:t>
      </w:r>
    </w:p>
    <w:p>
      <w:r>
        <w:t>Facial expression signal + bilingual text sentiment → transparent late fusion → mood state → adaptive chatbot response.</w:t>
      </w:r>
    </w:p>
    <w:p>
      <w:pPr>
        <w:pStyle w:val="Heading1"/>
      </w:pPr>
      <w:r>
        <w:t>Implementation Rule</w:t>
      </w:r>
    </w:p>
    <w:p>
      <w:r>
        <w:t>Behavioural signals must not change the safety-sensitive mood state or chatbot tone in the core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