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D7C6E"/>
          <w:sz w:val="80"/>
          <w:szCs w:val="80"/>
        </w:rPr>
        <w:t xml:space="preserve">PEAKLY</w:t>
      </w:r>
    </w:p>
    <w:p>
      <w:pPr>
        <w:spacing w:after="200" w:before="0"/>
        <w:jc w:val="center"/>
      </w:pPr>
      <w:r>
        <w:rPr>
          <w:rFonts w:ascii="Arial" w:cs="Arial" w:eastAsia="Arial" w:hAnsi="Arial"/>
          <w:b/>
          <w:bCs/>
          <w:color w:val="C9A84C"/>
          <w:sz w:val="32"/>
          <w:szCs w:val="32"/>
        </w:rPr>
        <w:t xml:space="preserve">Hub d'Investissement Musical</w:t>
      </w:r>
    </w:p>
    <w:p>
      <w:pPr>
        <w:spacing w:after="600" w:before="0"/>
        <w:jc w:val="center"/>
      </w:pPr>
      <w:r>
        <w:rPr>
          <w:rFonts w:ascii="Arial" w:cs="Arial" w:eastAsia="Arial" w:hAnsi="Arial"/>
          <w:i/>
          <w:iCs/>
          <w:color w:val="555555"/>
          <w:sz w:val="26"/>
          <w:szCs w:val="26"/>
        </w:rPr>
        <w:t xml:space="preserve">« Identifiez les pics. Investissez au sommet.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C6E" w:val="clear"/>
            <w:tcMar>
              <w:top w:type="dxa" w:w="300"/>
              <w:left w:type="dxa" w:w="400"/>
              <w:bottom w:type="dxa" w:w="300"/>
              <w:right w:type="dxa" w:w="400"/>
            </w:tcMar>
          </w:tcPr>
          <w:p>
            <w:pPr>
              <w:spacing w:after="100" w:before="0"/>
              <w:jc w:val="center"/>
            </w:pPr>
            <w:r>
              <w:rPr>
                <w:rFonts w:ascii="Arial" w:cs="Arial" w:eastAsia="Arial" w:hAnsi="Arial"/>
                <w:b/>
                <w:bCs/>
                <w:color w:val="FFFFFF"/>
                <w:sz w:val="36"/>
                <w:szCs w:val="36"/>
              </w:rPr>
              <w:t xml:space="preserve">BUSINESS PLAN</w:t>
            </w:r>
          </w:p>
          <w:p>
            <w:pPr>
              <w:spacing w:after="0" w:before="0"/>
              <w:jc w:val="center"/>
            </w:pPr>
            <w:r>
              <w:rPr>
                <w:rFonts w:ascii="Arial" w:cs="Arial" w:eastAsia="Arial" w:hAnsi="Arial"/>
                <w:color w:val="CCEEEA"/>
                <w:sz w:val="22"/>
                <w:szCs w:val="22"/>
              </w:rPr>
              <w:t xml:space="preserve">Analyse stratégique, protection IP &amp; projections financières</w:t>
            </w:r>
          </w:p>
        </w:tc>
      </w:tr>
    </w:tbl>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35 Mds$</w:t>
            </w:r>
          </w:p>
          <w:p>
            <w:pPr>
              <w:spacing w:after="0" w:before="0"/>
              <w:jc w:val="center"/>
            </w:pPr>
            <w:r>
              <w:rPr>
                <w:rFonts w:ascii="Arial" w:cs="Arial" w:eastAsia="Arial" w:hAnsi="Arial"/>
                <w:color w:val="555555"/>
                <w:sz w:val="18"/>
                <w:szCs w:val="18"/>
              </w:rPr>
              <w:t xml:space="preserve">Marché concerts 2025</w:t>
            </w:r>
          </w:p>
        </w:tc>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17 Mds$</w:t>
            </w:r>
          </w:p>
          <w:p>
            <w:pPr>
              <w:spacing w:after="0" w:before="0"/>
              <w:jc w:val="center"/>
            </w:pPr>
            <w:r>
              <w:rPr>
                <w:rFonts w:ascii="Arial" w:cs="Arial" w:eastAsia="Arial" w:hAnsi="Arial"/>
                <w:color w:val="555555"/>
                <w:sz w:val="18"/>
                <w:szCs w:val="18"/>
              </w:rPr>
              <w:t xml:space="preserve">Revenus Spotify 2025</w:t>
            </w:r>
          </w:p>
        </w:tc>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+11.8%</w:t>
            </w:r>
          </w:p>
          <w:p>
            <w:pPr>
              <w:spacing w:after="0" w:before="0"/>
              <w:jc w:val="center"/>
            </w:pPr>
            <w:r>
              <w:rPr>
                <w:rFonts w:ascii="Arial" w:cs="Arial" w:eastAsia="Arial" w:hAnsi="Arial"/>
                <w:color w:val="555555"/>
                <w:sz w:val="18"/>
                <w:szCs w:val="18"/>
              </w:rPr>
              <w:t xml:space="preserve">CAGR industrie /an</w:t>
            </w:r>
          </w:p>
        </w:tc>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919M</w:t>
            </w:r>
          </w:p>
          <w:p>
            <w:pPr>
              <w:spacing w:after="0" w:before="0"/>
              <w:jc w:val="center"/>
            </w:pPr>
            <w:r>
              <w:rPr>
                <w:rFonts w:ascii="Arial" w:cs="Arial" w:eastAsia="Arial" w:hAnsi="Arial"/>
                <w:color w:val="555555"/>
                <w:sz w:val="18"/>
                <w:szCs w:val="18"/>
              </w:rPr>
              <w:t xml:space="preserve">Abonnés streaming</w:t>
            </w:r>
          </w:p>
        </w:tc>
      </w:tr>
    </w:tbl>
    <w:p>
      <w:pPr>
        <w:spacing w:after="0" w:before="120"/>
      </w:pPr>
      <w:r>
        <w:t xml:space="preserve"/>
      </w:r>
    </w:p>
    <w:p>
      <w:pPr>
        <w:spacing w:after="0" w:before="400"/>
        <w:jc w:val="center"/>
      </w:pPr>
      <w:r>
        <w:rPr>
          <w:rFonts w:ascii="Arial" w:cs="Arial" w:eastAsia="Arial" w:hAnsi="Arial"/>
          <w:i/>
          <w:iCs/>
          <w:color w:val="999999"/>
          <w:sz w:val="18"/>
          <w:szCs w:val="18"/>
        </w:rPr>
        <w:t xml:space="preserve">Confidentiel — Document propriétaire Peakly</w:t>
      </w:r>
    </w:p>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1. RÉSUMÉ EXÉCUTIF</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5F3" w:val="clear"/>
            <w:tcMar>
              <w:top w:type="dxa" w:w="160"/>
              <w:left w:type="dxa" w:w="240"/>
              <w:bottom w:type="dxa" w:w="160"/>
              <w:right w:type="dxa" w:w="240"/>
            </w:tcMar>
          </w:tcPr>
          <w:p>
            <w:pPr>
              <w:spacing w:after="80" w:before="0"/>
            </w:pPr>
            <w:r>
              <w:rPr>
                <w:rFonts w:ascii="Arial" w:cs="Arial" w:eastAsia="Arial" w:hAnsi="Arial"/>
                <w:b/>
                <w:bCs/>
                <w:color w:val="0D7C6E"/>
                <w:sz w:val="24"/>
                <w:szCs w:val="24"/>
              </w:rPr>
              <w:t xml:space="preserve">La thèse d'investissement Peakly</w:t>
            </w:r>
          </w:p>
          <w:p>
            <w:pPr>
              <w:spacing w:after="0" w:before="0"/>
            </w:pPr>
            <w:r>
              <w:rPr>
                <w:rFonts w:ascii="Arial" w:cs="Arial" w:eastAsia="Arial" w:hAnsi="Arial"/>
                <w:sz w:val="22"/>
                <w:szCs w:val="22"/>
              </w:rPr>
              <w:t xml:space="preserve">L'industrie musicale génère plus de 50 milliards de dollars par an, mais les outils d'analyse pour les investisseurs restent fragmentés, techniques et inaccessibles. Peakly comble ce vide en agrégeant données streaming, financières et événementielles dans un score d'investissement unique et actionnable.</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Vision</w:t>
      </w:r>
    </w:p>
    <w:p>
      <w:pPr>
        <w:spacing w:after="80" w:before="80"/>
      </w:pPr>
      <w:r>
        <w:rPr>
          <w:rFonts w:ascii="Arial" w:cs="Arial" w:eastAsia="Arial" w:hAnsi="Arial"/>
          <w:sz w:val="22"/>
          <w:szCs w:val="22"/>
        </w:rPr>
        <w:t xml:space="preserve">Peakly est la première plateforme data dédiée aux investisseurs du secteur musical. Elle transforme des données complexes (cours boursiers, tendances streaming, revenus live) en recommandations claires grâce au Peakly Score™.</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Mission</w:t>
      </w:r>
    </w:p>
    <w:p>
      <w:pPr>
        <w:spacing w:after="80" w:before="80"/>
      </w:pPr>
      <w:r>
        <w:rPr>
          <w:rFonts w:ascii="Arial" w:cs="Arial" w:eastAsia="Arial" w:hAnsi="Arial"/>
          <w:sz w:val="22"/>
          <w:szCs w:val="22"/>
        </w:rPr>
        <w:t xml:space="preserve">Démocratiser l'accès à l'analyse financière de l'industrie musicale pour les investisseurs institutionnels, les fonds de capital-risque et les particuliers éclairés.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Paramètre</w:t>
            </w:r>
          </w:p>
        </w:tc>
        <w:tc>
          <w:tcPr>
            <w:tcW w:type="dxa" w:w="616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Détail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Problème résolu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Les données musicales et financières sont dispersées sur 10+ sources. Aucun outil ne les croise de manière intelligente.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Solution Peakly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Un dashboard unique avec collecte automatisée, analyse IA et scoring propriétaire.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Marché cible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Investisseurs B2B (fonds, VC, family offices) + particuliers premium (B2C).</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Modèle de revenus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SaaS B2B + abonnement premium B2C + API licensing + services conseil.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Avantage concurrentiel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Le Peakly Score™ — algorithme propriétaire croisant 5 dimensions de l'industrie.</w:t>
            </w:r>
          </w:p>
        </w:tc>
      </w:tr>
    </w:tbl>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2. ANALYSE DU MARCHÉ</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2.1 Taille et dynamique du marché</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28.6 Mds$</w:t>
            </w:r>
          </w:p>
          <w:p>
            <w:pPr>
              <w:spacing w:after="0" w:before="0"/>
              <w:jc w:val="center"/>
            </w:pPr>
            <w:r>
              <w:rPr>
                <w:rFonts w:ascii="Arial" w:cs="Arial" w:eastAsia="Arial" w:hAnsi="Arial"/>
                <w:color w:val="555555"/>
                <w:sz w:val="18"/>
                <w:szCs w:val="18"/>
              </w:rPr>
              <w:t xml:space="preserve">Marché global musique 2025</w:t>
            </w:r>
          </w:p>
        </w:tc>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35.2 Mds$</w:t>
            </w:r>
          </w:p>
          <w:p>
            <w:pPr>
              <w:spacing w:after="0" w:before="0"/>
              <w:jc w:val="center"/>
            </w:pPr>
            <w:r>
              <w:rPr>
                <w:rFonts w:ascii="Arial" w:cs="Arial" w:eastAsia="Arial" w:hAnsi="Arial"/>
                <w:color w:val="555555"/>
                <w:sz w:val="18"/>
                <w:szCs w:val="18"/>
              </w:rPr>
              <w:t xml:space="preserve">Concerts &amp; Live 2025</w:t>
            </w:r>
          </w:p>
        </w:tc>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+9.2%</w:t>
            </w:r>
          </w:p>
          <w:p>
            <w:pPr>
              <w:spacing w:after="0" w:before="0"/>
              <w:jc w:val="center"/>
            </w:pPr>
            <w:r>
              <w:rPr>
                <w:rFonts w:ascii="Arial" w:cs="Arial" w:eastAsia="Arial" w:hAnsi="Arial"/>
                <w:color w:val="555555"/>
                <w:sz w:val="18"/>
                <w:szCs w:val="18"/>
              </w:rPr>
              <w:t xml:space="preserve">CAGR streaming 2025-2030</w:t>
            </w:r>
          </w:p>
        </w:tc>
        <w:tc>
          <w:tcPr>
            <w:tcW w:type="dxa" w:w="2340"/>
            <w:tcBorders>
              <w:top w:val="single" w:color="CCCCCC" w:sz="1"/>
              <w:left w:val="single" w:color="CCCCCC" w:sz="1"/>
              <w:bottom w:val="single" w:color="CCCCCC" w:sz="1"/>
              <w:right w:val="single" w:color="CCCCCC" w:sz="1"/>
            </w:tcBorders>
            <w:shd w:fill="E6F5F3" w:val="clear"/>
            <w:tcMar>
              <w:top w:type="dxa" w:w="160"/>
              <w:left w:type="dxa" w:w="200"/>
              <w:bottom w:type="dxa" w:w="160"/>
              <w:right w:type="dxa" w:w="200"/>
            </w:tcMar>
          </w:tcPr>
          <w:p>
            <w:pPr>
              <w:spacing w:after="60" w:before="0"/>
              <w:jc w:val="center"/>
            </w:pPr>
            <w:r>
              <w:rPr>
                <w:rFonts w:ascii="Arial" w:cs="Arial" w:eastAsia="Arial" w:hAnsi="Arial"/>
                <w:b/>
                <w:bCs/>
                <w:color w:val="0D7C6E"/>
                <w:sz w:val="36"/>
                <w:szCs w:val="36"/>
              </w:rPr>
              <w:t xml:space="preserve">2 030</w:t>
            </w:r>
          </w:p>
          <w:p>
            <w:pPr>
              <w:spacing w:after="0" w:before="0"/>
              <w:jc w:val="center"/>
            </w:pPr>
            <w:r>
              <w:rPr>
                <w:rFonts w:ascii="Arial" w:cs="Arial" w:eastAsia="Arial" w:hAnsi="Arial"/>
                <w:color w:val="555555"/>
                <w:sz w:val="18"/>
                <w:szCs w:val="18"/>
              </w:rPr>
              <w:t xml:space="preserve">Horizon cible (Mds$ &gt;60)</w:t>
            </w:r>
          </w:p>
        </w:tc>
      </w:tr>
    </w:tbl>
    <w:p>
      <w:pPr>
        <w:spacing w:after="0" w:before="120"/>
      </w:pPr>
      <w:r>
        <w:t xml:space="preserve"/>
      </w:r>
    </w:p>
    <w:p>
      <w:pPr>
        <w:spacing w:after="80" w:before="80"/>
      </w:pPr>
      <w:r>
        <w:rPr>
          <w:rFonts w:ascii="Arial" w:cs="Arial" w:eastAsia="Arial" w:hAnsi="Arial"/>
          <w:sz w:val="22"/>
          <w:szCs w:val="22"/>
        </w:rPr>
        <w:t xml:space="preserve">L'industrie musicale a traversé une révolution structurelle en 10 ans : le streaming représente aujourd'hui plus de 67% des revenus enregistrés mondiaux (IFPI 2025). Les marchés émergents (Asie du Sud-Est, Afrique, Amérique Latine) affichent des taux de croissance 3x supérieurs aux marchés matures.</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2.2 Segments d'investissement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Segment</w:t>
            </w:r>
          </w:p>
        </w:tc>
        <w:tc>
          <w:tcPr>
            <w:tcW w:type="dxa" w:w="4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Exemples clés</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Caractéristiques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Actions cotées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SPOT, UMG (Euronext), WMG (NASDAQ), LYV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Liquidité maximale, corrélation streaming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Royalties musicales</w:t>
            </w:r>
          </w:p>
        </w:tc>
        <w:tc>
          <w:tcPr>
            <w:tcW w:type="dxa" w:w="4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Hipgnosis, Round Hill Music, Primary Wave</w:t>
            </w:r>
          </w:p>
        </w:tc>
        <w:tc>
          <w:tcPr>
            <w:tcW w:type="dxa" w:w="3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Rendements 8-12%, non corrélés marchés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Infrastructure live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Live Nation (LYV), CTS Eventim, Ticketmaster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Croissance +11.8%/an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Labels &amp; Publishing</w:t>
            </w:r>
          </w:p>
        </w:tc>
        <w:tc>
          <w:tcPr>
            <w:tcW w:type="dxa" w:w="4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UMG, Sony Music, WMG</w:t>
            </w:r>
          </w:p>
        </w:tc>
        <w:tc>
          <w:tcPr>
            <w:tcW w:type="dxa" w:w="3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70% du marché mondial contrôlé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Émergents &amp; VC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Startups streaming, tech musicale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Potentiel x10 mais risque élevé</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2.3 Concurrents &amp; positionnement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Concurrent</w:t>
            </w:r>
          </w:p>
        </w:tc>
        <w:tc>
          <w:tcPr>
            <w:tcW w:type="dxa" w:w="35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Offre</w:t>
            </w:r>
          </w:p>
        </w:tc>
        <w:tc>
          <w:tcPr>
            <w:tcW w:type="dxa" w:w="38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Limite vs Peakly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Bloomberg / Refinitiv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Données financières générales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Prix 25 000$/an — pas de focus musique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Luminate (ex-MRC)</w:t>
            </w:r>
          </w:p>
        </w:tc>
        <w:tc>
          <w:tcPr>
            <w:tcW w:type="dxa" w:w="3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Data musicale pour pros de l'industrie</w:t>
            </w:r>
          </w:p>
        </w:tc>
        <w:tc>
          <w:tcPr>
            <w:tcW w:type="dxa" w:w="38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B2B labels/radios — pas investisseurs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Chartmetric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Métriques artistes streaming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Marketing, pas finance d'investissement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Soundcharts</w:t>
            </w:r>
          </w:p>
        </w:tc>
        <w:tc>
          <w:tcPr>
            <w:tcW w:type="dxa" w:w="35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Monitoring artistes</w:t>
            </w:r>
          </w:p>
        </w:tc>
        <w:tc>
          <w:tcPr>
            <w:tcW w:type="dxa" w:w="38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Pas de croisement boursier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PEAKLY ✓</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Croisement data musique + finance + IA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SEUL acteur sur ce positionnement</w:t>
            </w:r>
          </w:p>
        </w:tc>
      </w:tr>
    </w:tbl>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3. OFFRE PRODUIT</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3.1 Le Peakly Score™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80" w:before="0"/>
            </w:pPr>
            <w:r>
              <w:rPr>
                <w:rFonts w:ascii="Arial" w:cs="Arial" w:eastAsia="Arial" w:hAnsi="Arial"/>
                <w:b/>
                <w:bCs/>
                <w:color w:val="C9A84C"/>
                <w:sz w:val="24"/>
                <w:szCs w:val="24"/>
              </w:rPr>
              <w:t xml:space="preserve">L'algorithme différenciateur</w:t>
            </w:r>
          </w:p>
          <w:p>
            <w:pPr>
              <w:spacing w:after="0" w:before="0"/>
            </w:pPr>
            <w:r>
              <w:rPr>
                <w:rFonts w:ascii="Arial" w:cs="Arial" w:eastAsia="Arial" w:hAnsi="Arial"/>
                <w:sz w:val="22"/>
                <w:szCs w:val="22"/>
              </w:rPr>
              <w:t xml:space="preserve">Le Peakly Score™ agrège 5 dimensions en un score de 0 à 100 : (1) Performance streaming — croissance écoutes/abonnés par région, (2) Santé financière — cours boursier, P/E ratio, flux de trésorerie, (3) Momentum live — fréquence concerts, revenus billetterie, (4) Expansion géographique — part marchés émergents, (5) Signal social — engagement fans, tendances culturelles. Un score &gt; 70 = signal d'achat. &lt; 30 = signal de prudence.</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3.2 Fonctionnalités du dashboard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Fonctionnalité</w:t>
            </w:r>
          </w:p>
        </w:tc>
        <w:tc>
          <w:tcPr>
            <w:tcW w:type="dxa" w:w="616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Vue marché global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Carte mondiale interactive, heat maps par région, répartition des revenus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Suivi cours boursiers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SPOT / UMG / WMG / LYV en temps réel avec corrélations streaming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Analyse artistes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Top artistes par valorisation potentielle, tendances par genre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Peakly Score™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Score synthétique mis à jour quotidiennement pour chaque actif suivi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Alertes &amp; signaux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Notifications push sur seuils de score ou mouvements significatifs</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Rapports IA</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Synthèses automatiques hebdomadaires générées par 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API Peakly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Accès programmatique aux scores et données pour clients institutionnels</w:t>
            </w:r>
          </w:p>
        </w:tc>
      </w:tr>
    </w:tbl>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4. MODÈLE DE REVENUS</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4.1 Architecture tarifaire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Offre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Prix</w:t>
            </w:r>
          </w:p>
        </w:tc>
        <w:tc>
          <w:tcPr>
            <w:tcW w:type="dxa" w:w="53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Contenu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Freemium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0 €/mois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Accès limité : 3 actifs suivis, données J-7, sans score complet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Premium B2C</w:t>
            </w:r>
          </w:p>
        </w:tc>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29 €/mois</w:t>
            </w:r>
          </w:p>
        </w:tc>
        <w:tc>
          <w:tcPr>
            <w:tcW w:type="dxa" w:w="5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Accès complet dashboard, alertes, Peakly Score™, 20 actifs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Pro B2C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79 €/mois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Portefeuille illimité, rapports IA, export CSV/Excel, API légère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Business B2B</w:t>
            </w:r>
          </w:p>
        </w:tc>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499 €/mois</w:t>
            </w:r>
          </w:p>
        </w:tc>
        <w:tc>
          <w:tcPr>
            <w:tcW w:type="dxa" w:w="5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Multi-utilisateurs, API complète, intégration Excel/Bloomberg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Enterprise B2B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Sur devis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Données brutes, scoring sur-mesure, SLA dédié, consultant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API Licensing</w:t>
            </w:r>
          </w:p>
        </w:tc>
        <w:tc>
          <w:tcPr>
            <w:tcW w:type="dxa" w:w="2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0.01 €/appel</w:t>
            </w:r>
          </w:p>
        </w:tc>
        <w:tc>
          <w:tcPr>
            <w:tcW w:type="dxa" w:w="5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Revente données Peakly Score™ à des tiers (Bloomberg, FinTech)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E" w:val="clear"/>
            <w:tcMar>
              <w:top w:type="dxa" w:w="160"/>
              <w:left w:type="dxa" w:w="240"/>
              <w:bottom w:type="dxa" w:w="160"/>
              <w:right w:type="dxa" w:w="240"/>
            </w:tcMar>
          </w:tcPr>
          <w:p>
            <w:pPr>
              <w:spacing w:after="80" w:before="0"/>
            </w:pPr>
            <w:r>
              <w:rPr>
                <w:rFonts w:ascii="Arial" w:cs="Arial" w:eastAsia="Arial" w:hAnsi="Arial"/>
                <w:b/>
                <w:bCs/>
                <w:color w:val="1A73E8"/>
                <w:sz w:val="24"/>
                <w:szCs w:val="24"/>
              </w:rPr>
              <w:t xml:space="preserve">💡 Stratégie de croissance : Le modèle Freemium est le moteur d'acquisition</w:t>
            </w:r>
          </w:p>
          <w:p>
            <w:pPr>
              <w:spacing w:after="0" w:before="0"/>
            </w:pPr>
            <w:r>
              <w:rPr>
                <w:rFonts w:ascii="Arial" w:cs="Arial" w:eastAsia="Arial" w:hAnsi="Arial"/>
                <w:sz w:val="22"/>
                <w:szCs w:val="22"/>
              </w:rPr>
              <w:t xml:space="preserve">L'objectif est d'acquérir 50 000 utilisateurs gratuits en 24 mois pour convertir 3 à 5% en payants. À 3% de conversion sur 50 000 utilisateurs : 1 500 abonnés Premium × 29€ = 43 500€/mois récurrent dès l'an 2.</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4.2 Sources de revenus additionnelles</w:t>
      </w:r>
    </w:p>
    <w:p>
      <w:pPr>
        <w:spacing w:after="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Rapports sectoriels premium (ex: « Music Investment Report Q4 2026 ») — 299€/rapport</w:t>
      </w:r>
    </w:p>
    <w:p>
      <w:pPr>
        <w:pStyle w:val="ListParagraph"/>
        <w:numPr>
          <w:ilvl w:val="0"/>
          <w:numId w:val="2"/>
        </w:numPr>
        <w:spacing w:after="60" w:before="60"/>
      </w:pPr>
      <w:r>
        <w:rPr>
          <w:rFonts w:ascii="Arial" w:cs="Arial" w:eastAsia="Arial" w:hAnsi="Arial"/>
          <w:b w:val="false"/>
          <w:bCs w:val="false"/>
          <w:sz w:val="22"/>
          <w:szCs w:val="22"/>
        </w:rPr>
        <w:t xml:space="preserve">Webinaires &amp; formations investisseurs — 99€/session, 500€/formation complète</w:t>
      </w:r>
    </w:p>
    <w:p>
      <w:pPr>
        <w:pStyle w:val="ListParagraph"/>
        <w:numPr>
          <w:ilvl w:val="0"/>
          <w:numId w:val="2"/>
        </w:numPr>
        <w:spacing w:after="60" w:before="60"/>
      </w:pPr>
      <w:r>
        <w:rPr>
          <w:rFonts w:ascii="Arial" w:cs="Arial" w:eastAsia="Arial" w:hAnsi="Arial"/>
          <w:b w:val="false"/>
          <w:bCs w:val="false"/>
          <w:sz w:val="22"/>
          <w:szCs w:val="22"/>
        </w:rPr>
        <w:t xml:space="preserve">Affiliation courtiers en ligne (Trade Republic, Degiro) — commission 15-25%</w:t>
      </w:r>
    </w:p>
    <w:p>
      <w:pPr>
        <w:pStyle w:val="ListParagraph"/>
        <w:numPr>
          <w:ilvl w:val="0"/>
          <w:numId w:val="2"/>
        </w:numPr>
        <w:spacing w:after="60" w:before="60"/>
      </w:pPr>
      <w:r>
        <w:rPr>
          <w:rFonts w:ascii="Arial" w:cs="Arial" w:eastAsia="Arial" w:hAnsi="Arial"/>
          <w:b w:val="false"/>
          <w:bCs w:val="false"/>
          <w:sz w:val="22"/>
          <w:szCs w:val="22"/>
        </w:rPr>
        <w:t xml:space="preserve">Partenariats labels/majors pour accès données exclusives — licensing entrant</w:t>
      </w:r>
    </w:p>
    <w:p>
      <w:pPr>
        <w:pStyle w:val="ListParagraph"/>
        <w:numPr>
          <w:ilvl w:val="0"/>
          <w:numId w:val="2"/>
        </w:numPr>
        <w:spacing w:after="60" w:before="60"/>
      </w:pPr>
      <w:r>
        <w:rPr>
          <w:rFonts w:ascii="Arial" w:cs="Arial" w:eastAsia="Arial" w:hAnsi="Arial"/>
          <w:b w:val="false"/>
          <w:bCs w:val="false"/>
          <w:sz w:val="22"/>
          <w:szCs w:val="22"/>
        </w:rPr>
        <w:t xml:space="preserve">Conseil en investissement musical pour family offices — 5 000-20 000€/mission</w:t>
      </w:r>
    </w:p>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5. PROJECTIONS FINANCIÈRES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60"/>
              <w:left w:type="dxa" w:w="240"/>
              <w:bottom w:type="dxa" w:w="160"/>
              <w:right w:type="dxa" w:w="240"/>
            </w:tcMar>
          </w:tcPr>
          <w:p>
            <w:pPr>
              <w:spacing w:after="80" w:before="0"/>
            </w:pPr>
            <w:r>
              <w:rPr>
                <w:rFonts w:ascii="Arial" w:cs="Arial" w:eastAsia="Arial" w:hAnsi="Arial"/>
                <w:b/>
                <w:bCs/>
                <w:color w:val="C0392B"/>
                <w:sz w:val="24"/>
                <w:szCs w:val="24"/>
              </w:rPr>
              <w:t xml:space="preserve">⚠️ Avertissement</w:t>
            </w:r>
          </w:p>
          <w:p>
            <w:pPr>
              <w:spacing w:after="0" w:before="0"/>
            </w:pPr>
            <w:r>
              <w:rPr>
                <w:rFonts w:ascii="Arial" w:cs="Arial" w:eastAsia="Arial" w:hAnsi="Arial"/>
                <w:sz w:val="22"/>
                <w:szCs w:val="22"/>
              </w:rPr>
              <w:t xml:space="preserve">Ces projections sont basées sur des benchmarks sectoriels SaaS et des hypothèses conservatrices. Elles ne constituent pas une garantie de résultats. Tout investissement comporte des risques.</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5.1 Scénario court terme — Années 1 &amp; 2 (Post-MVP)</w:t>
      </w:r>
    </w:p>
    <w:p>
      <w:pPr>
        <w:spacing w:after="0" w:before="120"/>
      </w:pPr>
      <w:r>
        <w:t xml:space="preserve"/>
      </w:r>
    </w:p>
    <w:p>
      <w:pPr>
        <w:spacing w:after="80" w:before="80"/>
      </w:pPr>
      <w:r>
        <w:rPr>
          <w:rFonts w:ascii="Arial" w:cs="Arial" w:eastAsia="Arial" w:hAnsi="Arial"/>
          <w:sz w:val="22"/>
          <w:szCs w:val="22"/>
        </w:rPr>
        <w:t xml:space="preserve">Phase : Validation du produit, acquisition des premiers utilisateurs payants, itérations rapides.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Indicateur</w:t>
            </w:r>
          </w:p>
        </w:tc>
        <w:tc>
          <w:tcPr>
            <w:tcW w:type="dxa" w:w="21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Mois 6</w:t>
            </w:r>
          </w:p>
        </w:tc>
        <w:tc>
          <w:tcPr>
            <w:tcW w:type="dxa" w:w="21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Mois 12</w:t>
            </w:r>
          </w:p>
        </w:tc>
        <w:tc>
          <w:tcPr>
            <w:tcW w:type="dxa" w:w="21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Mois 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Utilisateurs gratuits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500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5 000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20 000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Abonnés Premium (29€)</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20</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200</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Abonnés Pro (79€)</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40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150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Clients Business (499€)</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0</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5</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ARR (Revenu Annuel Récurrent)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8 130 €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82 440 €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342 780 €</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Coûts opérationnels estimés</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15 000 €</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45 000 €</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120 000 €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Résultat net estimé</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-6 870 €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+37 440 €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+222 780 €</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5.2 Scénario moyen terme — Années 3 à 5</w:t>
      </w:r>
    </w:p>
    <w:p>
      <w:pPr>
        <w:spacing w:after="0" w:before="120"/>
      </w:pPr>
      <w:r>
        <w:t xml:space="preserve"/>
      </w:r>
    </w:p>
    <w:p>
      <w:pPr>
        <w:spacing w:after="80" w:before="80"/>
      </w:pPr>
      <w:r>
        <w:rPr>
          <w:rFonts w:ascii="Arial" w:cs="Arial" w:eastAsia="Arial" w:hAnsi="Arial"/>
          <w:sz w:val="22"/>
          <w:szCs w:val="22"/>
        </w:rPr>
        <w:t xml:space="preserve">Phase : Scale-up, levée de fonds Série A, expansion européenne, développement API B2B.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Indicateur</w:t>
            </w:r>
          </w:p>
        </w:tc>
        <w:tc>
          <w:tcPr>
            <w:tcW w:type="dxa" w:w="21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An 3</w:t>
            </w:r>
          </w:p>
        </w:tc>
        <w:tc>
          <w:tcPr>
            <w:tcW w:type="dxa" w:w="21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An 4</w:t>
            </w:r>
          </w:p>
        </w:tc>
        <w:tc>
          <w:tcPr>
            <w:tcW w:type="dxa" w:w="212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An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Utilisateurs totaux</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80 000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200 000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500 000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Abonnés payants</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3 500</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9 000</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22 000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Clients B2B</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50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150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400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Revenus API &amp; Licensing</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30 000 €</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120 000 €</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400 000 €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Chiffre d'affaires total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~1.2 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~3.8 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~9.5 M€</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EBITDA estimé (marge 30%)</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~360 K€</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~1.14 M€</w:t>
            </w:r>
          </w:p>
        </w:tc>
        <w:tc>
          <w:tcPr>
            <w:tcW w:type="dxa" w:w="212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~2.85 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Valorisation estimée (x8 ARR)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~9.6 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~30.4 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~76 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5F3" w:val="clear"/>
            <w:tcMar>
              <w:top w:type="dxa" w:w="160"/>
              <w:left w:type="dxa" w:w="240"/>
              <w:bottom w:type="dxa" w:w="160"/>
              <w:right w:type="dxa" w:w="240"/>
            </w:tcMar>
          </w:tcPr>
          <w:p>
            <w:pPr>
              <w:spacing w:after="80" w:before="0"/>
            </w:pPr>
            <w:r>
              <w:rPr>
                <w:rFonts w:ascii="Arial" w:cs="Arial" w:eastAsia="Arial" w:hAnsi="Arial"/>
                <w:b/>
                <w:bCs/>
                <w:color w:val="0D7C6E"/>
                <w:sz w:val="24"/>
                <w:szCs w:val="24"/>
              </w:rPr>
              <w:t xml:space="preserve">📊 Benchmark SaaS musical — Pourquoi ces chiffres sont réalistes</w:t>
            </w:r>
          </w:p>
          <w:p>
            <w:pPr>
              <w:spacing w:after="0" w:before="0"/>
            </w:pPr>
            <w:r>
              <w:rPr>
                <w:rFonts w:ascii="Arial" w:cs="Arial" w:eastAsia="Arial" w:hAnsi="Arial"/>
                <w:sz w:val="22"/>
                <w:szCs w:val="22"/>
              </w:rPr>
              <w:t xml:space="preserve">Chartmetric (concurrent) valorisé ~50M$ avec 60 000 utilisateurs payants. SoundCloud valorisé 420M$ à son pic. Les multiples SaaS B2B data oscillent entre x6 et x12 sur l'ARR. Avec 9.5M€ de CA à l'an 5, une valorisation entre 57M€ et 114M€ est crédible pour une acquisition ou une introduction en bourse.</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5.3 Scénario long terme — Années 6 à 10</w:t>
      </w:r>
    </w:p>
    <w:p>
      <w:pPr>
        <w:spacing w:after="0" w:before="120"/>
      </w:pPr>
      <w:r>
        <w:t xml:space="preserve"/>
      </w:r>
    </w:p>
    <w:p>
      <w:pPr>
        <w:spacing w:after="80" w:before="80"/>
      </w:pPr>
      <w:r>
        <w:rPr>
          <w:rFonts w:ascii="Arial" w:cs="Arial" w:eastAsia="Arial" w:hAnsi="Arial"/>
          <w:sz w:val="22"/>
          <w:szCs w:val="22"/>
        </w:rPr>
        <w:t xml:space="preserve">Phase : Consolidation, possibilité d'acquisition par Bloomberg, UMG, ou un grand groupe financier. Alternative : IPO sur Euronext Growth ou Nasdaq.</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Scénario de sortie</w:t>
            </w:r>
          </w:p>
        </w:tc>
        <w:tc>
          <w:tcPr>
            <w:tcW w:type="dxa" w:w="616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Acquisition stratégique (An 6-8)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Cible : Bloomberg, Refinitiv, UMG, Sony. Valorisation probable : 80-200M€ selon traction B2B.</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IPO Euronext Growth (An 7-10)</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Introduction en bourse sur marché croissance. Valorisation cible : 150-500M€ selon métriques SaaS atteintes.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Licence technologie (An 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Revente du Peakly Score™ en marque blanche à des banques privées et plateformes de courtage.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Expansion internationale (An 4+)</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US, UK, Asie — multiplication x3-5 de la base utilisateurs.</w:t>
            </w:r>
          </w:p>
        </w:tc>
      </w:tr>
    </w:tbl>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6. PROTÉGER L'IDÉE — STRATÉGIE IP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80" w:before="0"/>
            </w:pPr>
            <w:r>
              <w:rPr>
                <w:rFonts w:ascii="Arial" w:cs="Arial" w:eastAsia="Arial" w:hAnsi="Arial"/>
                <w:b/>
                <w:bCs/>
                <w:color w:val="C9A84C"/>
                <w:sz w:val="24"/>
                <w:szCs w:val="24"/>
              </w:rPr>
              <w:t xml:space="preserve">Principe fondamental</w:t>
            </w:r>
          </w:p>
          <w:p>
            <w:pPr>
              <w:spacing w:after="0" w:before="0"/>
            </w:pPr>
            <w:r>
              <w:rPr>
                <w:rFonts w:ascii="Arial" w:cs="Arial" w:eastAsia="Arial" w:hAnsi="Arial"/>
                <w:sz w:val="22"/>
                <w:szCs w:val="22"/>
              </w:rPr>
              <w:t xml:space="preserve">Une idée seule ne se protège pas. Ce qui se protège : le code, la marque, l'algorithme documenté, et les données. Plus tu agis vite, plus ta position est solide. Voici les 5 actions concrètes à mener.</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6.1 Dépôt de marque — ACTION PRIORITAIRE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Paramètre</w:t>
            </w:r>
          </w:p>
        </w:tc>
        <w:tc>
          <w:tcPr>
            <w:tcW w:type="dxa" w:w="6160"/>
            <w:tcBorders>
              <w:top w:val="single" w:color="CCCCCC" w:sz="1"/>
              <w:left w:val="single" w:color="CCCCCC" w:sz="1"/>
              <w:bottom w:val="single" w:color="CCCCCC" w:sz="1"/>
              <w:right w:val="single" w:color="CCCCCC" w:sz="1"/>
            </w:tcBorders>
            <w:shd w:fill="0D7C6E" w:val="clear"/>
            <w:tcMar>
              <w:top w:type="dxa" w:w="100"/>
              <w:left w:type="dxa" w:w="160"/>
              <w:bottom w:type="dxa" w:w="100"/>
              <w:right w:type="dxa" w:w="160"/>
            </w:tcMar>
          </w:tcPr>
          <w:p>
            <w:r>
              <w:rPr>
                <w:rFonts w:ascii="Arial" w:cs="Arial" w:eastAsia="Arial" w:hAnsi="Arial"/>
                <w:b/>
                <w:bCs/>
                <w:color w:val="FFFFFF"/>
                <w:sz w:val="22"/>
                <w:szCs w:val="22"/>
              </w:rPr>
              <w:t xml:space="preserve">Détail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Quoi déposer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Le nom « PEAKLY » + le logo + le slogan « Identifiez les pics. Investissez au sommet. »</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Où déposer</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INPI (France) : protection nationale — 250€ pour 1 classe, 40€/classe supplémentaire. EUIPO (Europe) : 850€ pour toute l'UE (recommandé).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Quelles classes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Classe 42 (logiciels, SaaS, services informatiques) + Classe 36 (services financiers, investissement).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Délai</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3 à 4 mois pour enregistrement. Protection dès le dépôt.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1"/>
                <w:szCs w:val="21"/>
              </w:rPr>
              <w:t xml:space="preserve">Durée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1"/>
                <w:szCs w:val="21"/>
              </w:rPr>
              <w:t xml:space="preserve">10 ans renouvelables indéfiniment.</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bCs/>
                <w:sz w:val="21"/>
                <w:szCs w:val="21"/>
              </w:rPr>
              <w:t xml:space="preserve">À faire maintenant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b w:val="false"/>
                <w:bCs w:val="false"/>
                <w:sz w:val="21"/>
                <w:szCs w:val="21"/>
              </w:rPr>
              <w:t xml:space="preserve">Vérification disponibilité sur bases.inpi.fr — si libre, dépôt urgent avant tout lancement public.</w:t>
            </w:r>
          </w:p>
        </w:tc>
      </w:tr>
    </w:tbl>
    <w:p>
      <w:pPr>
        <w:spacing w:after="0" w:before="120"/>
      </w:pPr>
      <w:r>
        <w:t xml:space="preserve"/>
      </w:r>
    </w:p>
    <w:p>
      <w:pPr>
        <w:pStyle w:val="Heading2"/>
        <w:spacing w:after="150" w:before="300"/>
      </w:pPr>
      <w:r>
        <w:rPr>
          <w:rFonts w:ascii="Arial" w:cs="Arial" w:eastAsia="Arial" w:hAnsi="Arial"/>
          <w:b/>
          <w:bCs/>
          <w:color w:val="1A1A2E"/>
          <w:sz w:val="26"/>
          <w:szCs w:val="26"/>
        </w:rPr>
        <w:t xml:space="preserve">6.2 Protection du code — Droits d'auteur automatiques</w:t>
      </w:r>
    </w:p>
    <w:p>
      <w:pPr>
        <w:spacing w:after="0" w:before="120"/>
      </w:pPr>
      <w:r>
        <w:t xml:space="preserve"/>
      </w:r>
    </w:p>
    <w:p>
      <w:pPr>
        <w:spacing w:after="80" w:before="80"/>
      </w:pPr>
      <w:r>
        <w:rPr>
          <w:rFonts w:ascii="Arial" w:cs="Arial" w:eastAsia="Arial" w:hAnsi="Arial"/>
          <w:sz w:val="22"/>
          <w:szCs w:val="22"/>
        </w:rPr>
        <w:t xml:space="preserve">En France, le code source est automatiquement protégé par le droit d'auteur dès sa création (loi du 3 juillet 1985). Pas de démarche à faire, mais il faut PROUVER la date de création.</w:t>
      </w:r>
    </w:p>
    <w:p>
      <w:pPr>
        <w:spacing w:after="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Utiliser Git avec commits horodatés (GitHub donne une trace légale).</w:t>
      </w:r>
    </w:p>
    <w:p>
      <w:pPr>
        <w:pStyle w:val="ListParagraph"/>
        <w:numPr>
          <w:ilvl w:val="0"/>
          <w:numId w:val="2"/>
        </w:numPr>
        <w:spacing w:after="60" w:before="60"/>
      </w:pPr>
      <w:r>
        <w:rPr>
          <w:rFonts w:ascii="Arial" w:cs="Arial" w:eastAsia="Arial" w:hAnsi="Arial"/>
          <w:b w:val="false"/>
          <w:bCs w:val="false"/>
          <w:sz w:val="22"/>
          <w:szCs w:val="22"/>
        </w:rPr>
        <w:t xml:space="preserve">Enveloppe Soleau à l'INPI : 15€ — envoi d'une enveloppe scellée prouvant que tu détenais le code à une date précise.</w:t>
      </w:r>
    </w:p>
    <w:p>
      <w:pPr>
        <w:pStyle w:val="ListParagraph"/>
        <w:numPr>
          <w:ilvl w:val="0"/>
          <w:numId w:val="2"/>
        </w:numPr>
        <w:spacing w:after="60" w:before="60"/>
      </w:pPr>
      <w:r>
        <w:rPr>
          <w:rFonts w:ascii="Arial" w:cs="Arial" w:eastAsia="Arial" w:hAnsi="Arial"/>
          <w:b w:val="false"/>
          <w:bCs w:val="false"/>
          <w:sz w:val="22"/>
          <w:szCs w:val="22"/>
        </w:rPr>
        <w:t xml:space="preserve">Dépôt APP (Agence pour la Protection des Programmes) : 60-80€ — reconnaissance officielle du logiciel.</w:t>
      </w:r>
    </w:p>
    <w:p>
      <w:pPr>
        <w:pStyle w:val="ListParagraph"/>
        <w:numPr>
          <w:ilvl w:val="0"/>
          <w:numId w:val="2"/>
        </w:numPr>
        <w:spacing w:after="60" w:before="60"/>
      </w:pPr>
      <w:r>
        <w:rPr>
          <w:rFonts w:ascii="Arial" w:cs="Arial" w:eastAsia="Arial" w:hAnsi="Arial"/>
          <w:b w:val="false"/>
          <w:bCs w:val="false"/>
          <w:sz w:val="22"/>
          <w:szCs w:val="22"/>
        </w:rPr>
        <w:t xml:space="preserve">Ajouter en header de chaque fichier source : © 2025 Peakly — Tous droits réservés.</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6.3 Protection de l'algorithme — Secret commercial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60"/>
              <w:left w:type="dxa" w:w="240"/>
              <w:bottom w:type="dxa" w:w="160"/>
              <w:right w:type="dxa" w:w="240"/>
            </w:tcMar>
          </w:tcPr>
          <w:p>
            <w:pPr>
              <w:spacing w:after="80" w:before="0"/>
            </w:pPr>
            <w:r>
              <w:rPr>
                <w:rFonts w:ascii="Arial" w:cs="Arial" w:eastAsia="Arial" w:hAnsi="Arial"/>
                <w:b/>
                <w:bCs/>
                <w:color w:val="C0392B"/>
                <w:sz w:val="24"/>
                <w:szCs w:val="24"/>
              </w:rPr>
              <w:t xml:space="preserve">Le Peakly Score™ ne se brevète pas — il se garde secret</w:t>
            </w:r>
          </w:p>
          <w:p>
            <w:pPr>
              <w:spacing w:after="0" w:before="0"/>
            </w:pPr>
            <w:r>
              <w:rPr>
                <w:rFonts w:ascii="Arial" w:cs="Arial" w:eastAsia="Arial" w:hAnsi="Arial"/>
                <w:sz w:val="22"/>
                <w:szCs w:val="22"/>
              </w:rPr>
              <w:t xml:space="preserve">Les algorithmes et méthodes mathématiques ne sont pas brevetables en Europe. La bonne stratégie est le secret commercial (comme Coca-Cola) : documenter la formule dans un coffre-fort numérique sécurisé, ne la partager qu'en NDA signé, et ne jamais la publier en open-source.</w:t>
            </w:r>
          </w:p>
        </w:tc>
      </w:tr>
    </w:tbl>
    <w:p>
      <w:pPr>
        <w:spacing w:after="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Créer une documentation complète de l'algorithme dans un vault chiffré (Bitwarden, 1Password).</w:t>
      </w:r>
    </w:p>
    <w:p>
      <w:pPr>
        <w:pStyle w:val="ListParagraph"/>
        <w:numPr>
          <w:ilvl w:val="0"/>
          <w:numId w:val="2"/>
        </w:numPr>
        <w:spacing w:after="60" w:before="60"/>
      </w:pPr>
      <w:r>
        <w:rPr>
          <w:rFonts w:ascii="Arial" w:cs="Arial" w:eastAsia="Arial" w:hAnsi="Arial"/>
          <w:b w:val="false"/>
          <w:bCs w:val="false"/>
          <w:sz w:val="22"/>
          <w:szCs w:val="22"/>
        </w:rPr>
        <w:t xml:space="preserve">Faire signer un NDA à tout partenaire, investisseur ou développeur externe avant toute présentation.</w:t>
      </w:r>
    </w:p>
    <w:p>
      <w:pPr>
        <w:pStyle w:val="ListParagraph"/>
        <w:numPr>
          <w:ilvl w:val="0"/>
          <w:numId w:val="2"/>
        </w:numPr>
        <w:spacing w:after="60" w:before="60"/>
      </w:pPr>
      <w:r>
        <w:rPr>
          <w:rFonts w:ascii="Arial" w:cs="Arial" w:eastAsia="Arial" w:hAnsi="Arial"/>
          <w:b w:val="false"/>
          <w:bCs w:val="false"/>
          <w:sz w:val="22"/>
          <w:szCs w:val="22"/>
        </w:rPr>
        <w:t xml:space="preserve">Envisager un brevet logiciel US si expansion américaine (USPTO — plus favorable aux algos).</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6.4 Nom de domaine &amp; présence numérique</w:t>
      </w:r>
    </w:p>
    <w:p>
      <w:pPr>
        <w:spacing w:after="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Acheter peakly.com / peakly.io / peakly.fr immédiatement (~10-15€/an chacun sur OVH ou Namecheap).</w:t>
      </w:r>
    </w:p>
    <w:p>
      <w:pPr>
        <w:pStyle w:val="ListParagraph"/>
        <w:numPr>
          <w:ilvl w:val="0"/>
          <w:numId w:val="2"/>
        </w:numPr>
        <w:spacing w:after="60" w:before="60"/>
      </w:pPr>
      <w:r>
        <w:rPr>
          <w:rFonts w:ascii="Arial" w:cs="Arial" w:eastAsia="Arial" w:hAnsi="Arial"/>
          <w:b w:val="false"/>
          <w:bCs w:val="false"/>
          <w:sz w:val="22"/>
          <w:szCs w:val="22"/>
        </w:rPr>
        <w:t xml:space="preserve">Créer les comptes @peakly sur Twitter/X, LinkedIn, Instagram, TikTok avant tout lancement.</w:t>
      </w:r>
    </w:p>
    <w:p>
      <w:pPr>
        <w:pStyle w:val="ListParagraph"/>
        <w:numPr>
          <w:ilvl w:val="0"/>
          <w:numId w:val="2"/>
        </w:numPr>
        <w:spacing w:after="60" w:before="60"/>
      </w:pPr>
      <w:r>
        <w:rPr>
          <w:rFonts w:ascii="Arial" w:cs="Arial" w:eastAsia="Arial" w:hAnsi="Arial"/>
          <w:b w:val="false"/>
          <w:bCs w:val="false"/>
          <w:sz w:val="22"/>
          <w:szCs w:val="22"/>
        </w:rPr>
        <w:t xml:space="preserve">Déposer « Peakly » comme nom de société (SASU ou SAS) à l'INPI via Guichet Entreprises — ~25€.</w:t>
      </w:r>
    </w:p>
    <w:p>
      <w:pPr>
        <w:spacing w:after="0" w:before="120"/>
      </w:pPr>
      <w:r>
        <w:t xml:space="preserve"/>
      </w:r>
    </w:p>
    <w:p>
      <w:pPr>
        <w:pStyle w:val="Heading2"/>
        <w:spacing w:after="150" w:before="300"/>
      </w:pPr>
      <w:r>
        <w:rPr>
          <w:rFonts w:ascii="Arial" w:cs="Arial" w:eastAsia="Arial" w:hAnsi="Arial"/>
          <w:b/>
          <w:bCs/>
          <w:color w:val="1A1A2E"/>
          <w:sz w:val="26"/>
          <w:szCs w:val="26"/>
        </w:rPr>
        <w:t xml:space="preserve">6.5 Accord entre fondateurs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60"/>
              <w:left w:type="dxa" w:w="240"/>
              <w:bottom w:type="dxa" w:w="160"/>
              <w:right w:type="dxa" w:w="240"/>
            </w:tcMar>
          </w:tcPr>
          <w:p>
            <w:pPr>
              <w:spacing w:after="80" w:before="0"/>
            </w:pPr>
            <w:r>
              <w:rPr>
                <w:rFonts w:ascii="Arial" w:cs="Arial" w:eastAsia="Arial" w:hAnsi="Arial"/>
                <w:b/>
                <w:bCs/>
                <w:color w:val="C0392B"/>
                <w:sz w:val="24"/>
                <w:szCs w:val="24"/>
              </w:rPr>
              <w:t xml:space="preserve">⚠️ Le risque le plus sous-estimé par les startups</w:t>
            </w:r>
          </w:p>
          <w:p>
            <w:pPr>
              <w:spacing w:after="0" w:before="0"/>
            </w:pPr>
            <w:r>
              <w:rPr>
                <w:rFonts w:ascii="Arial" w:cs="Arial" w:eastAsia="Arial" w:hAnsi="Arial"/>
                <w:sz w:val="22"/>
                <w:szCs w:val="22"/>
              </w:rPr>
              <w:t xml:space="preserve">Les conflits entre fondateurs sont la cause n°1 d'échec des startups. Rédigez un pacte d'associés dès maintenant précisant : répartition des parts, clause de vesting (acquisition progressive des parts sur 3-4 ans), droits de préemption, clause de non-concurrence et propriété de tous les développements réalisés.</w:t>
            </w:r>
          </w:p>
        </w:tc>
      </w:tr>
    </w:tbl>
    <w:p>
      <w:pPr>
        <w:pStyle w:val="ListParagraph"/>
        <w:numPr>
          <w:ilvl w:val="0"/>
          <w:numId w:val="2"/>
        </w:numPr>
        <w:spacing w:after="60" w:before="60"/>
      </w:pPr>
      <w:r>
        <w:rPr>
          <w:rFonts w:ascii="Arial" w:cs="Arial" w:eastAsia="Arial" w:hAnsi="Arial"/>
          <w:b w:val="false"/>
          <w:bCs w:val="false"/>
          <w:sz w:val="22"/>
          <w:szCs w:val="22"/>
        </w:rPr>
        <w:t xml:space="preserve">Rédiger un pacte d'associés avec un avocat spécialisé startup (~500-1 500€).</w:t>
      </w:r>
    </w:p>
    <w:p>
      <w:pPr>
        <w:pStyle w:val="ListParagraph"/>
        <w:numPr>
          <w:ilvl w:val="0"/>
          <w:numId w:val="2"/>
        </w:numPr>
        <w:spacing w:after="60" w:before="60"/>
      </w:pPr>
      <w:r>
        <w:rPr>
          <w:rFonts w:ascii="Arial" w:cs="Arial" w:eastAsia="Arial" w:hAnsi="Arial"/>
          <w:b w:val="false"/>
          <w:bCs w:val="false"/>
          <w:sz w:val="22"/>
          <w:szCs w:val="22"/>
        </w:rPr>
        <w:t xml:space="preserve">Clause de vesting : si un fondateur part dans les 2 premières années, il perd une partie de ses parts.</w:t>
      </w:r>
    </w:p>
    <w:p>
      <w:pPr>
        <w:pStyle w:val="ListParagraph"/>
        <w:numPr>
          <w:ilvl w:val="0"/>
          <w:numId w:val="2"/>
        </w:numPr>
        <w:spacing w:after="60" w:before="60"/>
      </w:pPr>
      <w:r>
        <w:rPr>
          <w:rFonts w:ascii="Arial" w:cs="Arial" w:eastAsia="Arial" w:hAnsi="Arial"/>
          <w:b w:val="false"/>
          <w:bCs w:val="false"/>
          <w:sz w:val="22"/>
          <w:szCs w:val="22"/>
        </w:rPr>
        <w:t xml:space="preserve">Toute contribution intellectuelle réalisée dans le cadre du projet appartient à la société, pas à l'individu.</w:t>
      </w:r>
    </w:p>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7. ROADMAP STRATÉGIQUE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w:t>
            </w:r>
          </w:p>
        </w:tc>
        <w:tc>
          <w:tcPr>
            <w:tcW w:type="dxa" w:w="18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Étape</w:t>
            </w:r>
          </w:p>
        </w:tc>
        <w:tc>
          <w:tcPr>
            <w:tcW w:type="dxa" w:w="57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Objectifs clés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Phase 0 — Maintenant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Protection 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Dépôt marque INPI, achat domaines, Enveloppe Soleau, pacte fondateurs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Phase 1 — Mois 1-3</w:t>
            </w:r>
          </w:p>
        </w:tc>
        <w:tc>
          <w:tcPr>
            <w:tcW w:type="dxa" w:w="1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MVP &amp; Validation</w:t>
            </w:r>
          </w:p>
        </w:tc>
        <w:tc>
          <w:tcPr>
            <w:tcW w:type="dxa" w:w="57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Version bêta publique, 500 premiers inscrits, tests utilisateurs, pivot si nécessaire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Phase 2 — Mois 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Lancement &amp; Traction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Lancement officiel, campagnes LinkedIn/Twitter, partenariats fintech, 5 000 users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Phase 3 — Mois 6-12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Monétisation</w:t>
            </w:r>
          </w:p>
        </w:tc>
        <w:tc>
          <w:tcPr>
            <w:tcW w:type="dxa" w:w="57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Activation freemium → payant, premiers 200 abonnés, premières licences B2B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Phase 4 — An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Scale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Levée de fonds 500K-2M€ (amorçage), équipe 5-8 personnes, expansion EU</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Phase 5 — An 3-5</w:t>
            </w:r>
          </w:p>
        </w:tc>
        <w:tc>
          <w:tcPr>
            <w:tcW w:type="dxa" w:w="18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Croissance</w:t>
            </w:r>
          </w:p>
        </w:tc>
        <w:tc>
          <w:tcPr>
            <w:tcW w:type="dxa" w:w="57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Expansion US &amp; Asie, Série A 5-15M€, API licensing actif, 10K+ payants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Phase 6 — An 5-10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Exit ou IPO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Acquisition stratégique (50-200M€) ou introduction en bourse</w:t>
            </w:r>
          </w:p>
        </w:tc>
      </w:tr>
    </w:tbl>
    <w:p>
      <w:r>
        <w:br w:type="page"/>
      </w:r>
    </w:p>
    <w:p>
      <w:pPr>
        <w:pStyle w:val="Heading1"/>
        <w:pBdr>
          <w:bottom w:val="single" w:color="0D7C6E" w:sz="6" w:space="4"/>
        </w:pBdr>
        <w:spacing w:after="200" w:before="400"/>
      </w:pPr>
      <w:r>
        <w:rPr>
          <w:rFonts w:ascii="Arial" w:cs="Arial" w:eastAsia="Arial" w:hAnsi="Arial"/>
          <w:b/>
          <w:bCs/>
          <w:color w:val="0D7C6E"/>
          <w:sz w:val="32"/>
          <w:szCs w:val="32"/>
        </w:rPr>
        <w:t xml:space="preserve">8. ANALYSE DES RISQUES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Risque</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Niveau</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API Spotify / données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Élevé</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Diversifier sources : IFPI, Luminate, web scraping, données propriétaires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Concurrence Bloomberg</w:t>
            </w:r>
          </w:p>
        </w:tc>
        <w:tc>
          <w:tcPr>
            <w:tcW w:type="dxa" w:w="1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Moyen</w:t>
            </w:r>
          </w:p>
        </w:tc>
        <w:tc>
          <w:tcPr>
            <w:tcW w:type="dxa" w:w="5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Se concentrer sur niche music-first — Bloomberg ne fera jamais mieux sur ce vertical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Modèle freemium lent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Moyen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Développer la filière B2B en parallèle dès le départ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Régulation financière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Élevé</w:t>
            </w:r>
          </w:p>
        </w:tc>
        <w:tc>
          <w:tcPr>
            <w:tcW w:type="dxa" w:w="5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Ne pas donner de conseils en investissement (réglementation MiFID II) — mentionner disclaimer légal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Scalabilité technique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Faible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1"/>
                <w:szCs w:val="21"/>
              </w:rPr>
              <w:t xml:space="preserve">Architecture cloud-native dès le départ (AWS/GCP), infrastructure Streamlit → migration React/Next.js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Conflits fondateurs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Élevé</w:t>
            </w:r>
          </w:p>
        </w:tc>
        <w:tc>
          <w:tcPr>
            <w:tcW w:type="dxa" w:w="51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jc w:val="center"/>
            </w:pPr>
            <w:r>
              <w:rPr>
                <w:rFonts w:ascii="Arial" w:cs="Arial" w:eastAsia="Arial" w:hAnsi="Arial"/>
                <w:sz w:val="21"/>
                <w:szCs w:val="21"/>
              </w:rPr>
              <w:t xml:space="preserve">Pacte d'associés avec vesting dès J+1</w:t>
            </w:r>
          </w:p>
        </w:tc>
      </w:tr>
    </w:tbl>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5F3" w:val="clear"/>
            <w:tcMar>
              <w:top w:type="dxa" w:w="160"/>
              <w:left w:type="dxa" w:w="240"/>
              <w:bottom w:type="dxa" w:w="160"/>
              <w:right w:type="dxa" w:w="240"/>
            </w:tcMar>
          </w:tcPr>
          <w:p>
            <w:pPr>
              <w:spacing w:after="80" w:before="0"/>
            </w:pPr>
            <w:r>
              <w:rPr>
                <w:rFonts w:ascii="Arial" w:cs="Arial" w:eastAsia="Arial" w:hAnsi="Arial"/>
                <w:b/>
                <w:bCs/>
                <w:color w:val="0D7C6E"/>
                <w:sz w:val="24"/>
                <w:szCs w:val="24"/>
              </w:rPr>
              <w:t xml:space="preserve">Conclusion — Pourquoi Peakly peut devenir une vraie entreprise</w:t>
            </w:r>
          </w:p>
          <w:p>
            <w:pPr>
              <w:spacing w:after="0" w:before="0"/>
            </w:pPr>
            <w:r>
              <w:rPr>
                <w:rFonts w:ascii="Arial" w:cs="Arial" w:eastAsia="Arial" w:hAnsi="Arial"/>
                <w:sz w:val="22"/>
                <w:szCs w:val="22"/>
              </w:rPr>
              <w:t xml:space="preserve">Peakly part d'un projet scolaire solide mais son vrai potentiel est bien au-delà. Le marché de l'investissement musical est sous-servi, en forte croissance, et aucun acteur n'occupe le positionnement data-first pour investisseurs. Avec une exécution rigoureuse, une protection IP rapide, et un focus initial sur 1 000 vrais utilisateurs payants, Peakly peut atteindre 1M€ d'ARR en 24 mois et se positionner pour une valorisation de 50-200M€ à horizon 7 ans.</w:t>
            </w:r>
          </w:p>
        </w:tc>
      </w:tr>
    </w:tbl>
    <w:p>
      <w:pPr>
        <w:spacing w:after="0" w:before="120"/>
      </w:pPr>
      <w:r>
        <w:t xml:space="preserve"/>
      </w:r>
    </w:p>
    <w:p>
      <w:pPr>
        <w:spacing w:after="0" w:before="400"/>
        <w:jc w:val="center"/>
      </w:pPr>
      <w:r>
        <w:rPr>
          <w:rFonts w:ascii="Arial" w:cs="Arial" w:eastAsia="Arial" w:hAnsi="Arial"/>
          <w:i/>
          <w:iCs/>
          <w:color w:val="999999"/>
          <w:sz w:val="18"/>
          <w:szCs w:val="18"/>
        </w:rPr>
        <w:t xml:space="preserve">PEAKLY © 2025 — Document Confidentiel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7C6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2026-06-08T15:40:22.730Z</dcterms:created>
  <dcterms:modified xsi:type="dcterms:W3CDTF">2026-06-08T15:40:22.731Z</dcterms:modified>
</cp:coreProperties>
</file>

<file path=docProps/custom.xml><?xml version="1.0" encoding="utf-8"?>
<Properties xmlns="http://schemas.openxmlformats.org/officeDocument/2006/custom-properties" xmlns:vt="http://schemas.openxmlformats.org/officeDocument/2006/docPropsVTypes"/>
</file>