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PEAKLY CONNECT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B8862E"/>
          <w:sz w:val="26"/>
          <w:szCs w:val="26"/>
        </w:rPr>
        <w:t xml:space="preserve">Business Plan Synthétique</w:t>
      </w:r>
    </w:p>
    <w:p>
      <w:pPr>
        <w:pBdr>
          <w:bottom w:val="single" w:color="1B2A4A" w:sz="10" w:space="6"/>
        </w:pBdr>
        <w:spacing w:after="26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Juin 2026 — Document interne, à destination des investisseurs en phase de pré-amorçage</w:t>
      </w:r>
    </w:p>
    <w:p>
      <w:pPr>
        <w:pStyle w:val="Heading2"/>
        <w:pBdr>
          <w:bottom w:val="single" w:color="B8862E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B8862E"/>
          <w:sz w:val="26"/>
          <w:szCs w:val="26"/>
        </w:rPr>
        <w:t xml:space="preserve">1. </w:t>
      </w: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Résumé exécutif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Peakly Connect est une plateforme B2B qui structure la découverte et le recrutement de talents musicaux pour les labels indépendants, éditeurs et investisseurs : CV musical standardisé, scoring data et pipeline de candidatures, là où le tri se fait aujourd'hui à la main et sans outil dédié.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Le marché cible (structures B2B musicales en Europe) représente un TAM bottom-up estimé à 10,8 M€/an, avec un SAM à 5 ans de 3,8 M€ sur les marchés prioritaires (France, UK, Allemagne, Benelux).</w:t>
      </w:r>
    </w:p>
    <w:p>
      <w:pPr>
        <w:spacing w:after="20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Le projet est en phase de validation : stratégie de lancement séquencée en 3 phases pour sécuriser la demande professionnelle avant d'ouvrir le côté artiste, et éviter l'effet d'œuf de poule classique des marketplaces biface.</w:t>
      </w:r>
    </w:p>
    <w:p>
      <w:pPr>
        <w:pStyle w:val="Heading2"/>
        <w:pBdr>
          <w:bottom w:val="single" w:color="B8862E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B8862E"/>
          <w:sz w:val="26"/>
          <w:szCs w:val="26"/>
        </w:rPr>
        <w:t xml:space="preserve">2. </w:t>
      </w: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Proposition de valeur</w:t>
      </w:r>
    </w:p>
    <w:p>
      <w:pPr>
        <w:pBdr>
          <w:left w:val="single" w:color="B8862E" w:sz="18" w:space="8"/>
        </w:pBdr>
        <w:spacing w:after="220" w:line="300"/>
        <w:ind w:left="200"/>
      </w:pPr>
      <w:r>
        <w:rPr>
          <w:rFonts w:ascii="Arial" w:cs="Arial" w:eastAsia="Arial" w:hAnsi="Arial"/>
          <w:i/>
          <w:iCs/>
          <w:color w:val="1B2A4A"/>
          <w:sz w:val="23"/>
          <w:szCs w:val="23"/>
        </w:rPr>
        <w:t xml:space="preserve">Peakly Connect transforme le tri artisanal et chronophage des candidatures musicales en un pipeline de recrutement structuré et data-driven pour les labels, éditeurs et investisseurs.</w:t>
      </w:r>
    </w:p>
    <w:p>
      <w:pPr>
        <w:pStyle w:val="Heading2"/>
        <w:pBdr>
          <w:bottom w:val="single" w:color="B8862E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B8862E"/>
          <w:sz w:val="26"/>
          <w:szCs w:val="26"/>
        </w:rPr>
        <w:t xml:space="preserve">3. </w:t>
      </w: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Modèle économique concret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Monétisation centrée B2B : le côté artiste reste majoritairement gratuit pour maximiser le volume et l'attractivité du catalogue auprès des professionnels, qui sont la source de revenu principale.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700"/>
        <w:gridCol w:w="4006"/>
      </w:tblGrid>
      <w:tr>
        <w:trPr>
          <w:tblHeader/>
        </w:trPr>
        <w:tc>
          <w:tcPr>
            <w:tcW w:type="dxa" w:w="2200"/>
            <w:tcBorders>
              <w:top w:val="single" w:color="D9D5CC" w:sz="2"/>
              <w:left w:val="single" w:color="D9D5CC" w:sz="2"/>
              <w:bottom w:val="single" w:color="D9D5CC" w:sz="2"/>
              <w:right w:val="single" w:color="D9D5CC" w:sz="2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Offre</w:t>
            </w:r>
          </w:p>
        </w:tc>
        <w:tc>
          <w:tcPr>
            <w:tcW w:type="dxa" w:w="1800"/>
            <w:tcBorders>
              <w:top w:val="single" w:color="D9D5CC" w:sz="2"/>
              <w:left w:val="single" w:color="D9D5CC" w:sz="2"/>
              <w:bottom w:val="single" w:color="D9D5CC" w:sz="2"/>
              <w:right w:val="single" w:color="D9D5CC" w:sz="2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Cible</w:t>
            </w:r>
          </w:p>
        </w:tc>
        <w:tc>
          <w:tcPr>
            <w:tcW w:type="dxa" w:w="1700"/>
            <w:tcBorders>
              <w:top w:val="single" w:color="D9D5CC" w:sz="2"/>
              <w:left w:val="single" w:color="D9D5CC" w:sz="2"/>
              <w:bottom w:val="single" w:color="D9D5CC" w:sz="2"/>
              <w:right w:val="single" w:color="D9D5CC" w:sz="2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Prix</w:t>
            </w:r>
          </w:p>
        </w:tc>
        <w:tc>
          <w:tcPr>
            <w:tcW w:type="dxa" w:w="4006"/>
            <w:tcBorders>
              <w:top w:val="single" w:color="D9D5CC" w:sz="2"/>
              <w:left w:val="single" w:color="D9D5CC" w:sz="2"/>
              <w:bottom w:val="single" w:color="D9D5CC" w:sz="2"/>
              <w:right w:val="single" w:color="D9D5CC" w:sz="2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Rôle dans le modèle</w:t>
            </w:r>
          </w:p>
        </w:tc>
      </w:tr>
      <w:tr>
        <w:tc>
          <w:tcPr>
            <w:tcW w:type="dxa" w:w="2200"/>
            <w:tcBorders>
              <w:top w:val="single" w:color="D9D5CC" w:sz="2"/>
              <w:left w:val="single" w:color="D9D5CC" w:sz="2"/>
              <w:bottom w:val="single" w:color="D9D5CC" w:sz="2"/>
              <w:right w:val="single" w:color="D9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Freemium</w:t>
            </w:r>
          </w:p>
        </w:tc>
        <w:tc>
          <w:tcPr>
            <w:tcW w:type="dxa" w:w="1800"/>
            <w:tcBorders>
              <w:top w:val="single" w:color="D9D5CC" w:sz="2"/>
              <w:left w:val="single" w:color="D9D5CC" w:sz="2"/>
              <w:bottom w:val="single" w:color="D9D5CC" w:sz="2"/>
              <w:right w:val="single" w:color="D9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Artiste</w:t>
            </w:r>
          </w:p>
        </w:tc>
        <w:tc>
          <w:tcPr>
            <w:tcW w:type="dxa" w:w="1700"/>
            <w:tcBorders>
              <w:top w:val="single" w:color="D9D5CC" w:sz="2"/>
              <w:left w:val="single" w:color="D9D5CC" w:sz="2"/>
              <w:bottom w:val="single" w:color="D9D5CC" w:sz="2"/>
              <w:right w:val="single" w:color="D9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0€</w:t>
            </w:r>
          </w:p>
        </w:tc>
        <w:tc>
          <w:tcPr>
            <w:tcW w:type="dxa" w:w="4006"/>
            <w:tcBorders>
              <w:top w:val="single" w:color="D9D5CC" w:sz="2"/>
              <w:left w:val="single" w:color="D9D5CC" w:sz="2"/>
              <w:bottom w:val="single" w:color="D9D5CC" w:sz="2"/>
              <w:right w:val="single" w:color="D9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Volume et attractivité du catalogue pour les pros — pas un moteur de revenu</w:t>
            </w:r>
          </w:p>
        </w:tc>
      </w:tr>
      <w:tr>
        <w:tc>
          <w:tcPr>
            <w:tcW w:type="dxa" w:w="2200"/>
            <w:tcBorders>
              <w:top w:val="single" w:color="D9D5CC" w:sz="2"/>
              <w:left w:val="single" w:color="D9D5CC" w:sz="2"/>
              <w:bottom w:val="single" w:color="D9D5CC" w:sz="2"/>
              <w:right w:val="single" w:color="D9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Boost</w:t>
            </w:r>
          </w:p>
        </w:tc>
        <w:tc>
          <w:tcPr>
            <w:tcW w:type="dxa" w:w="1800"/>
            <w:tcBorders>
              <w:top w:val="single" w:color="D9D5CC" w:sz="2"/>
              <w:left w:val="single" w:color="D9D5CC" w:sz="2"/>
              <w:bottom w:val="single" w:color="D9D5CC" w:sz="2"/>
              <w:right w:val="single" w:color="D9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Artiste</w:t>
            </w:r>
          </w:p>
        </w:tc>
        <w:tc>
          <w:tcPr>
            <w:tcW w:type="dxa" w:w="1700"/>
            <w:tcBorders>
              <w:top w:val="single" w:color="D9D5CC" w:sz="2"/>
              <w:left w:val="single" w:color="D9D5CC" w:sz="2"/>
              <w:bottom w:val="single" w:color="D9D5CC" w:sz="2"/>
              <w:right w:val="single" w:color="D9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9€/mois</w:t>
            </w:r>
          </w:p>
        </w:tc>
        <w:tc>
          <w:tcPr>
            <w:tcW w:type="dxa" w:w="4006"/>
            <w:tcBorders>
              <w:top w:val="single" w:color="D9D5CC" w:sz="2"/>
              <w:left w:val="single" w:color="D9D5CC" w:sz="2"/>
              <w:bottom w:val="single" w:color="D9D5CC" w:sz="2"/>
              <w:right w:val="single" w:color="D9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Revenu complémentaire marginal, optionnel</w:t>
            </w:r>
          </w:p>
        </w:tc>
      </w:tr>
      <w:tr>
        <w:tc>
          <w:tcPr>
            <w:tcW w:type="dxa" w:w="2200"/>
            <w:tcBorders>
              <w:top w:val="single" w:color="D9D5CC" w:sz="2"/>
              <w:left w:val="single" w:color="D9D5CC" w:sz="2"/>
              <w:bottom w:val="single" w:color="D9D5CC" w:sz="2"/>
              <w:right w:val="single" w:color="D9D5CC" w:sz="2"/>
            </w:tcBorders>
            <w:shd w:fill="F2EFE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Pro Label</w:t>
            </w:r>
          </w:p>
        </w:tc>
        <w:tc>
          <w:tcPr>
            <w:tcW w:type="dxa" w:w="1800"/>
            <w:tcBorders>
              <w:top w:val="single" w:color="D9D5CC" w:sz="2"/>
              <w:left w:val="single" w:color="D9D5CC" w:sz="2"/>
              <w:bottom w:val="single" w:color="D9D5CC" w:sz="2"/>
              <w:right w:val="single" w:color="D9D5CC" w:sz="2"/>
            </w:tcBorders>
            <w:shd w:fill="F2EFE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Label / éditeur</w:t>
            </w:r>
          </w:p>
        </w:tc>
        <w:tc>
          <w:tcPr>
            <w:tcW w:type="dxa" w:w="1700"/>
            <w:tcBorders>
              <w:top w:val="single" w:color="D9D5CC" w:sz="2"/>
              <w:left w:val="single" w:color="D9D5CC" w:sz="2"/>
              <w:bottom w:val="single" w:color="D9D5CC" w:sz="2"/>
              <w:right w:val="single" w:color="D9D5CC" w:sz="2"/>
            </w:tcBorders>
            <w:shd w:fill="F2EFE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79€/mois</w:t>
            </w:r>
          </w:p>
        </w:tc>
        <w:tc>
          <w:tcPr>
            <w:tcW w:type="dxa" w:w="4006"/>
            <w:tcBorders>
              <w:top w:val="single" w:color="D9D5CC" w:sz="2"/>
              <w:left w:val="single" w:color="D9D5CC" w:sz="2"/>
              <w:bottom w:val="single" w:color="D9D5CC" w:sz="2"/>
              <w:right w:val="single" w:color="D9D5CC" w:sz="2"/>
            </w:tcBorders>
            <w:shd w:fill="F2EFE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Revenu principal : pipeline ATS, Talent Score IA, filtres avancés</w:t>
            </w:r>
          </w:p>
        </w:tc>
      </w:tr>
      <w:tr>
        <w:tc>
          <w:tcPr>
            <w:tcW w:type="dxa" w:w="2200"/>
            <w:tcBorders>
              <w:top w:val="single" w:color="D9D5CC" w:sz="2"/>
              <w:left w:val="single" w:color="D9D5CC" w:sz="2"/>
              <w:bottom w:val="single" w:color="D9D5CC" w:sz="2"/>
              <w:right w:val="single" w:color="D9D5CC" w:sz="2"/>
            </w:tcBorders>
            <w:shd w:fill="F2EFE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Business B2B</w:t>
            </w:r>
          </w:p>
        </w:tc>
        <w:tc>
          <w:tcPr>
            <w:tcW w:type="dxa" w:w="1800"/>
            <w:tcBorders>
              <w:top w:val="single" w:color="D9D5CC" w:sz="2"/>
              <w:left w:val="single" w:color="D9D5CC" w:sz="2"/>
              <w:bottom w:val="single" w:color="D9D5CC" w:sz="2"/>
              <w:right w:val="single" w:color="D9D5CC" w:sz="2"/>
            </w:tcBorders>
            <w:shd w:fill="F2EFE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Structure multi-équipe</w:t>
            </w:r>
          </w:p>
        </w:tc>
        <w:tc>
          <w:tcPr>
            <w:tcW w:type="dxa" w:w="1700"/>
            <w:tcBorders>
              <w:top w:val="single" w:color="D9D5CC" w:sz="2"/>
              <w:left w:val="single" w:color="D9D5CC" w:sz="2"/>
              <w:bottom w:val="single" w:color="D9D5CC" w:sz="2"/>
              <w:right w:val="single" w:color="D9D5CC" w:sz="2"/>
            </w:tcBorders>
            <w:shd w:fill="F2EFE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499€/mois</w:t>
            </w:r>
          </w:p>
        </w:tc>
        <w:tc>
          <w:tcPr>
            <w:tcW w:type="dxa" w:w="4006"/>
            <w:tcBorders>
              <w:top w:val="single" w:color="D9D5CC" w:sz="2"/>
              <w:left w:val="single" w:color="D9D5CC" w:sz="2"/>
              <w:bottom w:val="single" w:color="D9D5CC" w:sz="2"/>
              <w:right w:val="single" w:color="D9D5CC" w:sz="2"/>
            </w:tcBorders>
            <w:shd w:fill="F2EFE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Revenu principal : multi-utilisateurs, Deal Room, API complète</w:t>
            </w:r>
          </w:p>
        </w:tc>
      </w:tr>
      <w:tr>
        <w:tc>
          <w:tcPr>
            <w:tcW w:type="dxa" w:w="2200"/>
            <w:tcBorders>
              <w:top w:val="single" w:color="D9D5CC" w:sz="2"/>
              <w:left w:val="single" w:color="D9D5CC" w:sz="2"/>
              <w:bottom w:val="single" w:color="D9D5CC" w:sz="2"/>
              <w:right w:val="single" w:color="D9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Enterprise</w:t>
            </w:r>
          </w:p>
        </w:tc>
        <w:tc>
          <w:tcPr>
            <w:tcW w:type="dxa" w:w="1800"/>
            <w:tcBorders>
              <w:top w:val="single" w:color="D9D5CC" w:sz="2"/>
              <w:left w:val="single" w:color="D9D5CC" w:sz="2"/>
              <w:bottom w:val="single" w:color="D9D5CC" w:sz="2"/>
              <w:right w:val="single" w:color="D9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Investisseurs / groupes</w:t>
            </w:r>
          </w:p>
        </w:tc>
        <w:tc>
          <w:tcPr>
            <w:tcW w:type="dxa" w:w="1700"/>
            <w:tcBorders>
              <w:top w:val="single" w:color="D9D5CC" w:sz="2"/>
              <w:left w:val="single" w:color="D9D5CC" w:sz="2"/>
              <w:bottom w:val="single" w:color="D9D5CC" w:sz="2"/>
              <w:right w:val="single" w:color="D9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Sur devis</w:t>
            </w:r>
          </w:p>
        </w:tc>
        <w:tc>
          <w:tcPr>
            <w:tcW w:type="dxa" w:w="4006"/>
            <w:tcBorders>
              <w:top w:val="single" w:color="D9D5CC" w:sz="2"/>
              <w:left w:val="single" w:color="D9D5CC" w:sz="2"/>
              <w:bottom w:val="single" w:color="D9D5CC" w:sz="2"/>
              <w:right w:val="single" w:color="D9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Pool de co-investissement, scoring sur-mesure, SLA dédié</w:t>
            </w:r>
          </w:p>
        </w:tc>
      </w:tr>
    </w:tbl>
    <w:p>
      <w:pPr>
        <w:spacing w:after="200" w:line="276"/>
      </w:pPr>
      <w:r>
        <w:rPr>
          <w:rFonts w:ascii="Arial" w:cs="Arial" w:eastAsia="Arial" w:hAnsi="Arial"/>
          <w:b w:val="false"/>
          <w:bCs w:val="false"/>
          <w:i/>
          <w:iCs/>
          <w:color w:val="262626"/>
          <w:sz w:val="19"/>
          <w:szCs w:val="19"/>
        </w:rPr>
        <w:t xml:space="preserve">Revenu récurrent de type SaaS (abonnement mensuel), avec un cycle de vente B2B plus long mais un panier moyen et une rétention bien supérieurs à un modèle artiste payant non prouvé.</w:t>
      </w:r>
    </w:p>
    <w:p>
      <w:pPr>
        <w:pStyle w:val="Heading2"/>
        <w:pBdr>
          <w:bottom w:val="single" w:color="B8862E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B8862E"/>
          <w:sz w:val="26"/>
          <w:szCs w:val="26"/>
        </w:rPr>
        <w:t xml:space="preserve">4. </w:t>
      </w: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Projection financière — Année 1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Année 1 = phase de pré-amorçage (validation terrain + MVP + premiers labels pilotes). Les revenus restent volontairement faibles ; l'objectif de l'année est la preuve de demande, pas la rentabilité.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06"/>
        <w:gridCol w:w="4000"/>
      </w:tblGrid>
      <w:tr>
        <w:trPr>
          <w:tblHeader/>
        </w:trPr>
        <w:tc>
          <w:tcPr>
            <w:tcW w:type="dxa" w:w="5706"/>
            <w:tcBorders>
              <w:top w:val="single" w:color="D9D5CC" w:sz="2"/>
              <w:left w:val="single" w:color="D9D5CC" w:sz="2"/>
              <w:bottom w:val="single" w:color="D9D5CC" w:sz="2"/>
              <w:right w:val="single" w:color="D9D5CC" w:sz="2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Poste</w:t>
            </w:r>
          </w:p>
        </w:tc>
        <w:tc>
          <w:tcPr>
            <w:tcW w:type="dxa" w:w="4000"/>
            <w:tcBorders>
              <w:top w:val="single" w:color="D9D5CC" w:sz="2"/>
              <w:left w:val="single" w:color="D9D5CC" w:sz="2"/>
              <w:bottom w:val="single" w:color="D9D5CC" w:sz="2"/>
              <w:right w:val="single" w:color="D9D5CC" w:sz="2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Montant estimé</w:t>
            </w:r>
          </w:p>
        </w:tc>
      </w:tr>
      <w:tr>
        <w:tc>
          <w:tcPr>
            <w:tcW w:type="dxa" w:w="5706"/>
            <w:tcBorders>
              <w:top w:val="single" w:color="D9D5CC" w:sz="2"/>
              <w:left w:val="single" w:color="D9D5CC" w:sz="2"/>
              <w:bottom w:val="single" w:color="D9D5CC" w:sz="2"/>
              <w:right w:val="single" w:color="D9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Produit / développement MVP</w:t>
            </w:r>
          </w:p>
        </w:tc>
        <w:tc>
          <w:tcPr>
            <w:tcW w:type="dxa" w:w="4000"/>
            <w:tcBorders>
              <w:top w:val="single" w:color="D9D5CC" w:sz="2"/>
              <w:left w:val="single" w:color="D9D5CC" w:sz="2"/>
              <w:bottom w:val="single" w:color="D9D5CC" w:sz="2"/>
              <w:right w:val="single" w:color="D9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28 000 €</w:t>
            </w:r>
          </w:p>
        </w:tc>
      </w:tr>
      <w:tr>
        <w:tc>
          <w:tcPr>
            <w:tcW w:type="dxa" w:w="5706"/>
            <w:tcBorders>
              <w:top w:val="single" w:color="D9D5CC" w:sz="2"/>
              <w:left w:val="single" w:color="D9D5CC" w:sz="2"/>
              <w:bottom w:val="single" w:color="D9D5CC" w:sz="2"/>
              <w:right w:val="single" w:color="D9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Acquisition &amp; partenariats (10-20 labels pilotes)</w:t>
            </w:r>
          </w:p>
        </w:tc>
        <w:tc>
          <w:tcPr>
            <w:tcW w:type="dxa" w:w="4000"/>
            <w:tcBorders>
              <w:top w:val="single" w:color="D9D5CC" w:sz="2"/>
              <w:left w:val="single" w:color="D9D5CC" w:sz="2"/>
              <w:bottom w:val="single" w:color="D9D5CC" w:sz="2"/>
              <w:right w:val="single" w:color="D9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12 000 €</w:t>
            </w:r>
          </w:p>
        </w:tc>
      </w:tr>
      <w:tr>
        <w:tc>
          <w:tcPr>
            <w:tcW w:type="dxa" w:w="5706"/>
            <w:tcBorders>
              <w:top w:val="single" w:color="D9D5CC" w:sz="2"/>
              <w:left w:val="single" w:color="D9D5CC" w:sz="2"/>
              <w:bottom w:val="single" w:color="D9D5CC" w:sz="2"/>
              <w:right w:val="single" w:color="D9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Juridique &amp; conformité</w:t>
            </w:r>
          </w:p>
        </w:tc>
        <w:tc>
          <w:tcPr>
            <w:tcW w:type="dxa" w:w="4000"/>
            <w:tcBorders>
              <w:top w:val="single" w:color="D9D5CC" w:sz="2"/>
              <w:left w:val="single" w:color="D9D5CC" w:sz="2"/>
              <w:bottom w:val="single" w:color="D9D5CC" w:sz="2"/>
              <w:right w:val="single" w:color="D9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6 000 €</w:t>
            </w:r>
          </w:p>
        </w:tc>
      </w:tr>
      <w:tr>
        <w:tc>
          <w:tcPr>
            <w:tcW w:type="dxa" w:w="5706"/>
            <w:tcBorders>
              <w:top w:val="single" w:color="D9D5CC" w:sz="2"/>
              <w:left w:val="single" w:color="D9D5CC" w:sz="2"/>
              <w:bottom w:val="single" w:color="D9D5CC" w:sz="2"/>
              <w:right w:val="single" w:color="D9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Outils, data, hébergement</w:t>
            </w:r>
          </w:p>
        </w:tc>
        <w:tc>
          <w:tcPr>
            <w:tcW w:type="dxa" w:w="4000"/>
            <w:tcBorders>
              <w:top w:val="single" w:color="D9D5CC" w:sz="2"/>
              <w:left w:val="single" w:color="D9D5CC" w:sz="2"/>
              <w:bottom w:val="single" w:color="D9D5CC" w:sz="2"/>
              <w:right w:val="single" w:color="D9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6 000 €</w:t>
            </w:r>
          </w:p>
        </w:tc>
      </w:tr>
      <w:tr>
        <w:tc>
          <w:tcPr>
            <w:tcW w:type="dxa" w:w="5706"/>
            <w:tcBorders>
              <w:top w:val="single" w:color="D9D5CC" w:sz="2"/>
              <w:left w:val="single" w:color="D9D5CC" w:sz="2"/>
              <w:bottom w:val="single" w:color="D9D5CC" w:sz="2"/>
              <w:right w:val="single" w:color="D9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Divers / imprévus</w:t>
            </w:r>
          </w:p>
        </w:tc>
        <w:tc>
          <w:tcPr>
            <w:tcW w:type="dxa" w:w="4000"/>
            <w:tcBorders>
              <w:top w:val="single" w:color="D9D5CC" w:sz="2"/>
              <w:left w:val="single" w:color="D9D5CC" w:sz="2"/>
              <w:bottom w:val="single" w:color="D9D5CC" w:sz="2"/>
              <w:right w:val="single" w:color="D9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6 000 €</w:t>
            </w:r>
          </w:p>
        </w:tc>
      </w:tr>
      <w:tr>
        <w:tc>
          <w:tcPr>
            <w:tcW w:type="dxa" w:w="5706"/>
            <w:tcBorders>
              <w:top w:val="single" w:color="D9D5CC" w:sz="2"/>
              <w:left w:val="single" w:color="D9D5CC" w:sz="2"/>
              <w:bottom w:val="single" w:color="D9D5CC" w:sz="2"/>
              <w:right w:val="single" w:color="D9D5CC" w:sz="2"/>
            </w:tcBorders>
            <w:shd w:fill="F2EFE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Charges totales</w:t>
            </w:r>
          </w:p>
        </w:tc>
        <w:tc>
          <w:tcPr>
            <w:tcW w:type="dxa" w:w="4000"/>
            <w:tcBorders>
              <w:top w:val="single" w:color="D9D5CC" w:sz="2"/>
              <w:left w:val="single" w:color="D9D5CC" w:sz="2"/>
              <w:bottom w:val="single" w:color="D9D5CC" w:sz="2"/>
              <w:right w:val="single" w:color="D9D5CC" w:sz="2"/>
            </w:tcBorders>
            <w:shd w:fill="F2EFE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58 000 €</w:t>
            </w:r>
          </w:p>
        </w:tc>
      </w:tr>
      <w:tr>
        <w:tc>
          <w:tcPr>
            <w:tcW w:type="dxa" w:w="5706"/>
            <w:tcBorders>
              <w:top w:val="single" w:color="D9D5CC" w:sz="2"/>
              <w:left w:val="single" w:color="D9D5CC" w:sz="2"/>
              <w:bottom w:val="single" w:color="D9D5CC" w:sz="2"/>
              <w:right w:val="single" w:color="D9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Revenus (10-15 premiers labels Pro convertis en fin d'année)</w:t>
            </w:r>
          </w:p>
        </w:tc>
        <w:tc>
          <w:tcPr>
            <w:tcW w:type="dxa" w:w="4000"/>
            <w:tcBorders>
              <w:top w:val="single" w:color="D9D5CC" w:sz="2"/>
              <w:left w:val="single" w:color="D9D5CC" w:sz="2"/>
              <w:bottom w:val="single" w:color="D9D5CC" w:sz="2"/>
              <w:right w:val="single" w:color="D9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≈ 8 000 €</w:t>
            </w:r>
          </w:p>
        </w:tc>
      </w:tr>
      <w:tr>
        <w:tc>
          <w:tcPr>
            <w:tcW w:type="dxa" w:w="5706"/>
            <w:tcBorders>
              <w:top w:val="single" w:color="D9D5CC" w:sz="2"/>
              <w:left w:val="single" w:color="D9D5CC" w:sz="2"/>
              <w:bottom w:val="single" w:color="D9D5CC" w:sz="2"/>
              <w:right w:val="single" w:color="D9D5CC" w:sz="2"/>
            </w:tcBorders>
            <w:shd w:fill="F2EFE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Résultat net Année 1</w:t>
            </w:r>
          </w:p>
        </w:tc>
        <w:tc>
          <w:tcPr>
            <w:tcW w:type="dxa" w:w="4000"/>
            <w:tcBorders>
              <w:top w:val="single" w:color="D9D5CC" w:sz="2"/>
              <w:left w:val="single" w:color="D9D5CC" w:sz="2"/>
              <w:bottom w:val="single" w:color="D9D5CC" w:sz="2"/>
              <w:right w:val="single" w:color="D9D5CC" w:sz="2"/>
            </w:tcBorders>
            <w:shd w:fill="F2EFE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≈ -50 000 €</w:t>
            </w:r>
          </w:p>
        </w:tc>
      </w:tr>
      <w:tr>
        <w:tc>
          <w:tcPr>
            <w:tcW w:type="dxa" w:w="5706"/>
            <w:tcBorders>
              <w:top w:val="single" w:color="D9D5CC" w:sz="2"/>
              <w:left w:val="single" w:color="D9D5CC" w:sz="2"/>
              <w:bottom w:val="single" w:color="D9D5CC" w:sz="2"/>
              <w:right w:val="single" w:color="D9D5CC" w:sz="2"/>
            </w:tcBorders>
            <w:shd w:fill="B8862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Besoin de financement — pré-amorçage</w:t>
            </w:r>
          </w:p>
        </w:tc>
        <w:tc>
          <w:tcPr>
            <w:tcW w:type="dxa" w:w="4000"/>
            <w:tcBorders>
              <w:top w:val="single" w:color="D9D5CC" w:sz="2"/>
              <w:left w:val="single" w:color="D9D5CC" w:sz="2"/>
              <w:bottom w:val="single" w:color="D9D5CC" w:sz="2"/>
              <w:right w:val="single" w:color="D9D5CC" w:sz="2"/>
            </w:tcBorders>
            <w:shd w:fill="B8862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60 000 €</w:t>
            </w:r>
          </w:p>
        </w:tc>
      </w:tr>
    </w:tbl>
    <w:p>
      <w:pPr>
        <w:spacing w:after="200" w:line="276"/>
      </w:pPr>
      <w:r>
        <w:rPr>
          <w:rFonts w:ascii="Arial" w:cs="Arial" w:eastAsia="Arial" w:hAnsi="Arial"/>
          <w:b w:val="false"/>
          <w:bCs w:val="false"/>
          <w:i/>
          <w:iCs/>
          <w:color w:val="262626"/>
          <w:sz w:val="19"/>
          <w:szCs w:val="19"/>
        </w:rPr>
        <w:t xml:space="preserve">Le besoin de financement inclut une marge de sécurité d'environ 2 mois de runway. Ce montant correspond à la Phase 1 (pré-amorçage) de la levée séquencée présentée aux investisseurs.</w:t>
      </w:r>
    </w:p>
    <w:p>
      <w:pPr>
        <w:pStyle w:val="Heading2"/>
        <w:pBdr>
          <w:bottom w:val="single" w:color="B8862E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B8862E"/>
          <w:sz w:val="26"/>
          <w:szCs w:val="26"/>
        </w:rPr>
        <w:t xml:space="preserve">5. </w:t>
      </w: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 actions dans les 30 jours</w:t>
      </w:r>
    </w:p>
    <w:p>
      <w:pPr>
        <w:pStyle w:val="ListParagraph"/>
        <w:numPr>
          <w:ilvl w:val="0"/>
          <w:numId w:val="2"/>
        </w:numPr>
        <w:spacing w:after="130" w:line="276"/>
      </w:pPr>
      <w:r>
        <w:rPr>
          <w:rFonts w:ascii="Arial" w:cs="Arial" w:eastAsia="Arial" w:hAnsi="Arial"/>
          <w:sz w:val="21"/>
          <w:szCs w:val="21"/>
        </w:rPr>
        <w:t xml:space="preserve">Lancer 15 à 20 entretiens qualitatifs avec des labels indépendants, éditeurs et artistes semi-pros pour valider la douleur réelle et l'intention de payer.</w:t>
      </w:r>
    </w:p>
    <w:p>
      <w:pPr>
        <w:pStyle w:val="ListParagraph"/>
        <w:numPr>
          <w:ilvl w:val="0"/>
          <w:numId w:val="2"/>
        </w:numPr>
        <w:spacing w:after="130" w:line="276"/>
      </w:pPr>
      <w:r>
        <w:rPr>
          <w:rFonts w:ascii="Arial" w:cs="Arial" w:eastAsia="Arial" w:hAnsi="Arial"/>
          <w:sz w:val="21"/>
          <w:szCs w:val="21"/>
        </w:rPr>
        <w:t xml:space="preserve">Construire une liste de 30 à 50 labels et éditeurs cibles, et démarrer les premiers contacts pour le programme de partenaires pilotes.</w:t>
      </w:r>
    </w:p>
    <w:p>
      <w:pPr>
        <w:pStyle w:val="ListParagraph"/>
        <w:numPr>
          <w:ilvl w:val="0"/>
          <w:numId w:val="2"/>
        </w:numPr>
        <w:spacing w:after="130" w:line="276"/>
      </w:pPr>
      <w:r>
        <w:rPr>
          <w:rFonts w:ascii="Arial" w:cs="Arial" w:eastAsia="Arial" w:hAnsi="Arial"/>
          <w:sz w:val="21"/>
          <w:szCs w:val="21"/>
        </w:rPr>
        <w:t xml:space="preserve">Spécifier et lancer le développement du MVP léger (CV musical + job board basique) avec un freelance ou en no-code.</w:t>
      </w:r>
    </w:p>
    <w:p>
      <w:pPr>
        <w:pStyle w:val="ListParagraph"/>
        <w:numPr>
          <w:ilvl w:val="0"/>
          <w:numId w:val="2"/>
        </w:numPr>
        <w:spacing w:after="130" w:line="276"/>
      </w:pPr>
      <w:r>
        <w:rPr>
          <w:rFonts w:ascii="Arial" w:cs="Arial" w:eastAsia="Arial" w:hAnsi="Arial"/>
          <w:sz w:val="21"/>
          <w:szCs w:val="21"/>
        </w:rPr>
        <w:t xml:space="preserve">Finaliser le dossier de pré-amorçage et lister 10 à 15 business angels musique / SaaS B2B à approcher.</w:t>
      </w:r>
    </w:p>
    <w:p>
      <w:pPr>
        <w:pStyle w:val="ListParagraph"/>
        <w:numPr>
          <w:ilvl w:val="0"/>
          <w:numId w:val="2"/>
        </w:numPr>
        <w:spacing w:after="200" w:line="276"/>
      </w:pPr>
      <w:r>
        <w:rPr>
          <w:rFonts w:ascii="Arial" w:cs="Arial" w:eastAsia="Arial" w:hAnsi="Arial"/>
          <w:sz w:val="21"/>
          <w:szCs w:val="21"/>
        </w:rPr>
        <w:t xml:space="preserve">Mettre en place un suivi simple (CRM léger + indicateurs clés) pour mesurer la traction dès les premiers contacts.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B8862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outlineLvl w:val="0"/>
    </w:pPr>
    <w:rPr>
      <w:rFonts w:ascii="Arial" w:cs="Arial" w:eastAsia="Arial" w:hAnsi="Arial"/>
      <w:b/>
      <w:bCs/>
      <w:color w:val="1B2A4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2026-06-24T11:46:09.142Z</dcterms:created>
  <dcterms:modified xsi:type="dcterms:W3CDTF">2026-06-24T11:46:09.143Z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