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1C" w:rsidRDefault="003A5774">
      <w:r>
        <w:t>Specialite des enseignants IUT</w:t>
      </w:r>
    </w:p>
    <w:tbl>
      <w:tblPr>
        <w:tblStyle w:val="Grilledutableau"/>
        <w:tblpPr w:leftFromText="141" w:rightFromText="141" w:vertAnchor="text" w:horzAnchor="margin" w:tblpY="-90"/>
        <w:tblW w:w="0" w:type="auto"/>
        <w:tblLook w:val="04A0" w:firstRow="1" w:lastRow="0" w:firstColumn="1" w:lastColumn="0" w:noHBand="0" w:noVBand="1"/>
      </w:tblPr>
      <w:tblGrid>
        <w:gridCol w:w="2852"/>
        <w:gridCol w:w="1301"/>
        <w:gridCol w:w="1473"/>
        <w:gridCol w:w="2112"/>
        <w:gridCol w:w="1324"/>
      </w:tblGrid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Noms et prénoms 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Grades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Statuts 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Spécialités </w:t>
            </w:r>
          </w:p>
        </w:tc>
        <w:tc>
          <w:tcPr>
            <w:tcW w:w="1324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TCHOKPONHOUE Henri A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Maître Assistant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 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Théorie des Organisations et Gestion des Ressources Humaines</w:t>
            </w:r>
          </w:p>
        </w:tc>
        <w:tc>
          <w:tcPr>
            <w:tcW w:w="1324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ADEKAMBI Souléimane A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Maître 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Agroéconomie : marketing et stratégies pour le développement durable 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AIFA  Emil K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  Maître 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Macroéconomie appliquée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SADIKOU  Akimou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  Maître 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et conception des algorithmes</w:t>
            </w:r>
          </w:p>
        </w:tc>
        <w:tc>
          <w:tcPr>
            <w:tcW w:w="1324" w:type="dxa"/>
          </w:tcPr>
          <w:p w:rsidR="007D7229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AHOTONDJI Sosthène A.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Marketing et stratégie 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WOROUCOUBOU Habibou A.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Finance 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BOKO Fadonougbo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Maître 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Macroéconomie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DAMENOU  Ermine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Assistante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des organisations</w:t>
            </w:r>
          </w:p>
        </w:tc>
        <w:tc>
          <w:tcPr>
            <w:tcW w:w="1324" w:type="dxa"/>
          </w:tcPr>
          <w:p w:rsidR="007D7229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ALIDOU Djaoudath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 Maître</w:t>
            </w:r>
          </w:p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Finance 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MOUSSE Ange Mikael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par ordi</w:t>
            </w:r>
            <w:r w:rsidR="00046EDF">
              <w:rPr>
                <w:rFonts w:ascii="Times New Roman" w:hAnsi="Times New Roman" w:cs="Times New Roman"/>
                <w:sz w:val="24"/>
                <w:szCs w:val="24"/>
              </w:rPr>
              <w:t>nateur et reconnaissance de forme</w:t>
            </w:r>
          </w:p>
        </w:tc>
        <w:tc>
          <w:tcPr>
            <w:tcW w:w="1324" w:type="dxa"/>
          </w:tcPr>
          <w:p w:rsidR="007D7229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LIHOUSSOU Messan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et logistique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GOMINA MAMA Fousséni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et logistique</w:t>
            </w:r>
          </w:p>
        </w:tc>
        <w:tc>
          <w:tcPr>
            <w:tcW w:w="1324" w:type="dxa"/>
          </w:tcPr>
          <w:p w:rsidR="007D7229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7229" w:rsidRPr="006E5E64" w:rsidTr="007D7229">
        <w:tc>
          <w:tcPr>
            <w:tcW w:w="285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DAGBELOU  Dominique</w:t>
            </w:r>
          </w:p>
        </w:tc>
        <w:tc>
          <w:tcPr>
            <w:tcW w:w="1301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Doctorant</w:t>
            </w:r>
          </w:p>
        </w:tc>
        <w:tc>
          <w:tcPr>
            <w:tcW w:w="1473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64">
              <w:rPr>
                <w:rFonts w:ascii="Times New Roman" w:hAnsi="Times New Roman" w:cs="Times New Roman"/>
                <w:sz w:val="24"/>
                <w:szCs w:val="24"/>
              </w:rPr>
              <w:t>Enseignant chercheur</w:t>
            </w:r>
          </w:p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:rsidR="007D7229" w:rsidRPr="006E5E64" w:rsidRDefault="007D7229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et stratégies des organisations</w:t>
            </w:r>
          </w:p>
        </w:tc>
        <w:tc>
          <w:tcPr>
            <w:tcW w:w="1324" w:type="dxa"/>
          </w:tcPr>
          <w:p w:rsidR="007D7229" w:rsidRDefault="00046EDF" w:rsidP="000664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</w:tbl>
    <w:p w:rsidR="003A5774" w:rsidRDefault="003A5774"/>
    <w:sectPr w:rsidR="003A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74"/>
    <w:rsid w:val="00046EDF"/>
    <w:rsid w:val="003A5774"/>
    <w:rsid w:val="007D7229"/>
    <w:rsid w:val="00B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8D1E"/>
  <w15:chartTrackingRefBased/>
  <w15:docId w15:val="{EC431724-A103-4FD3-93FE-E12A387E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ADEKAMBI</dc:creator>
  <cp:keywords/>
  <dc:description/>
  <cp:lastModifiedBy>Salson</cp:lastModifiedBy>
  <cp:revision>3</cp:revision>
  <dcterms:created xsi:type="dcterms:W3CDTF">2019-11-19T18:28:00Z</dcterms:created>
  <dcterms:modified xsi:type="dcterms:W3CDTF">2020-01-23T14:05:00Z</dcterms:modified>
</cp:coreProperties>
</file>