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300" w:lineRule="auto"/>
        <w:jc w:val="both"/>
        <w:rPr>
          <w:b/>
          <w:bCs/>
          <w:i/>
          <w:iCs/>
          <w:sz w:val="20"/>
          <w:szCs w:val="20"/>
        </w:rPr>
      </w:pPr>
      <w:r/>
      <w:r>
        <w:rPr>
          <w:rFonts w:ascii="Times New Roman" w:hAnsi="Times New Roman"/>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360" w:after="160"/>
        <w:jc w:val="left"/>
      </w:pPr>
      <w:r>
        <w:rPr>
          <w:rFonts w:ascii="Times New Roman" w:hAnsi="Times New Roman"/>
          <w:b/>
          <w:color w:val="000000"/>
          <w:sz w:val="24"/>
        </w:rPr>
        <w:t>CHAPTER 1: BACKGROUND AND TECHNICAL OVERVIEW</w:t>
      </w:r>
    </w:p>
    <w:p>
      <w:pPr>
        <w:keepNext/>
        <w:spacing w:before="240" w:after="80"/>
        <w:jc w:val="left"/>
      </w:pPr>
      <w:r>
        <w:rPr>
          <w:rFonts w:ascii="Times New Roman" w:hAnsi="Times New Roman"/>
          <w:b/>
          <w:color w:val="000000"/>
          <w:sz w:val="22"/>
        </w:rPr>
        <w:t>1.1 Background &amp; Context of Academic Research Automation</w:t>
      </w:r>
    </w:p>
    <w:p>
      <w:pPr>
        <w:spacing w:before="0" w:after="120" w:line="300" w:lineRule="auto"/>
        <w:jc w:val="both"/>
      </w:pPr>
      <w:r>
        <w:rPr>
          <w:rFonts w:ascii="Times New Roman" w:hAnsi="Times New Roman"/>
          <w:color w:val="000000"/>
          <w:sz w:val="22"/>
        </w:rPr>
        <w:t>Academic literature review represents the foundational bedrock of scholarly inquiry, doctoral dissertations, and scientific advancement. Before any researcher can propose a novel hypothesis, engineer an innovative artificial intelligence architecture, or seek funding from academic grant agencies, they must conduct a rigorous, exhaustive survey of prior art to establish theoretical context, evaluate historical benchmarks, and uncover unexplored research gaps. However, the exponential explosion of scientific publishing has created a severe discovery bottleneck: over 5 million peer-reviewed papers are published annually across computer science, biomedicine, and applied sciences. As a consequence, researchers spend upwards of 30% of their total project lifecycle merely identifying, downloading, skimming, and tabulating existing literature.</w:t>
      </w:r>
    </w:p>
    <w:p>
      <w:pPr>
        <w:spacing w:before="0" w:after="120" w:line="300" w:lineRule="auto"/>
        <w:jc w:val="both"/>
      </w:pPr>
      <w:r>
        <w:rPr>
          <w:rFonts w:ascii="Times New Roman" w:hAnsi="Times New Roman"/>
          <w:color w:val="000000"/>
          <w:sz w:val="22"/>
        </w:rPr>
        <w:t>Recent breakthroughs in Large Language Models (LLMs) and Autonomous Agent frameworks offer an unprecedented opportunity to automate these labor-intensive processes. The Automated Literature Review Assistant (ALRA) conceptualizes literature synthesis as a multi-agent collaborative task. By combining real-time API integrations (ArXiv and Semantic Scholar) with dense vector retrieval (FAISS) and deep reasoning LLMs (Groq LLaMA-3.3 and DeepSeek R1), ALRA transforms passive document reading into an interactive, verifiable, and fully autonomous discovery ecosystem.</w:t>
      </w:r>
    </w:p>
    <w:p>
      <w:pPr>
        <w:keepNext/>
        <w:spacing w:before="240" w:after="80"/>
        <w:jc w:val="left"/>
      </w:pPr>
      <w:r>
        <w:rPr>
          <w:rFonts w:ascii="Times New Roman" w:hAnsi="Times New Roman"/>
          <w:b/>
          <w:color w:val="000000"/>
          <w:sz w:val="22"/>
        </w:rPr>
        <w:t>1.2 Research Objectives &amp; Project Scope</w:t>
      </w:r>
    </w:p>
    <w:p>
      <w:pPr>
        <w:spacing w:before="0" w:after="120" w:line="300" w:lineRule="auto"/>
        <w:jc w:val="both"/>
      </w:pPr>
      <w:r>
        <w:rPr>
          <w:rFonts w:ascii="Times New Roman" w:hAnsi="Times New Roman"/>
          <w:color w:val="000000"/>
          <w:sz w:val="22"/>
        </w:rPr>
        <w:t>The primary objectives of this project are strictly formulated as follows:</w:t>
        <w:br/>
        <w:t>1. Autonomous Multi-Source Discovery: Interrogate multiple live academic repositories (ArXiv, Semantic Scholar) simultaneously using query-reformulating agents.</w:t>
        <w:br/>
        <w:t>2. Deterministic PDF Ingestion &amp; Dense Semantic Indexing: Parse complex multi-column academic PDF files, extract structural metadata (authors, abstracts, methodology, results), and construct local FAISS vector spaces for low-latency semantic search.</w:t>
        <w:br/>
        <w:t>3. Research Gap Intelligence Extraction: Formulate an automated knowledge graph engine that isolates missing methodological intersections, domain bottlenecks, and unaddressed scientific challenges.</w:t>
        <w:br/>
        <w:t>4. Literature Review Synthesis &amp; Matrix Compilation: Autonomously generate complete, publication-ready literature review surveys formatted in IEEE style, complete with comparative taxonomy tables.</w:t>
        <w:br/>
        <w:t>5. Multimodal Voice-Enabled Interaction (Salim AI): Equip the system with real-time speech recognition and text-to-speech synthesis to facilitate hands-free audio interrogation of research corpora.</w:t>
      </w:r>
    </w:p>
    <w:p>
      <w:pPr>
        <w:keepNext/>
        <w:spacing w:before="240" w:after="80"/>
        <w:jc w:val="left"/>
      </w:pPr>
      <w:r>
        <w:rPr>
          <w:rFonts w:ascii="Times New Roman" w:hAnsi="Times New Roman"/>
          <w:b/>
          <w:color w:val="000000"/>
          <w:sz w:val="22"/>
        </w:rPr>
        <w:t>1.3 Hardware and Software System Specifications</w:t>
      </w:r>
    </w:p>
    <w:p>
      <w:pPr>
        <w:spacing w:before="0" w:after="120" w:line="300" w:lineRule="auto"/>
        <w:jc w:val="both"/>
      </w:pPr>
      <w:r>
        <w:rPr>
          <w:rFonts w:ascii="Times New Roman" w:hAnsi="Times New Roman"/>
          <w:color w:val="000000"/>
          <w:sz w:val="22"/>
        </w:rPr>
        <w:t>The development, testing, and production deployment of ALRA were executed on the hardware and software environment detailed in Table 1.1.</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73"/>
        <w:gridCol w:w="3073"/>
        <w:gridCol w:w="3073"/>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Component Category</w:t>
            </w:r>
          </w:p>
        </w:tc>
        <w:tc>
          <w:tcPr>
            <w:tcW w:type="dxa" w:w="3168"/>
            <w:tcMar>
              <w:top w:w="80" w:type="dxa"/>
              <w:bottom w:w="80" w:type="dxa"/>
              <w:left w:w="100" w:type="dxa"/>
              <w:right w:w="100" w:type="dxa"/>
            </w:tcMar>
            <w:shd w:fill="F1F5F9"/>
          </w:tcPr>
          <w:p>
            <w:pPr>
              <w:jc w:val="left"/>
            </w:pPr>
            <w:r>
              <w:rPr>
                <w:rFonts w:ascii="Times New Roman" w:hAnsi="Times New Roman"/>
                <w:b/>
                <w:color w:val="000000"/>
                <w:sz w:val="19"/>
              </w:rPr>
              <w:t>Specification / Library</w:t>
            </w:r>
          </w:p>
        </w:tc>
        <w:tc>
          <w:tcPr>
            <w:tcW w:type="dxa" w:w="3456"/>
            <w:tcMar>
              <w:top w:w="80" w:type="dxa"/>
              <w:bottom w:w="80" w:type="dxa"/>
              <w:left w:w="100" w:type="dxa"/>
              <w:right w:w="100" w:type="dxa"/>
            </w:tcMar>
            <w:shd w:fill="F1F5F9"/>
          </w:tcPr>
          <w:p>
            <w:pPr>
              <w:jc w:val="left"/>
            </w:pPr>
            <w:r>
              <w:rPr>
                <w:rFonts w:ascii="Times New Roman" w:hAnsi="Times New Roman"/>
                <w:b/>
                <w:color w:val="000000"/>
                <w:sz w:val="19"/>
              </w:rPr>
              <w:t>Operational Role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Host Processor</w:t>
            </w:r>
          </w:p>
        </w:tc>
        <w:tc>
          <w:tcPr>
            <w:tcW w:type="dxa" w:w="3168"/>
            <w:tcMar>
              <w:top w:w="80" w:type="dxa"/>
              <w:bottom w:w="80" w:type="dxa"/>
              <w:left w:w="100" w:type="dxa"/>
              <w:right w:w="100" w:type="dxa"/>
            </w:tcMar>
          </w:tcPr>
          <w:p>
            <w:pPr>
              <w:jc w:val="left"/>
            </w:pPr>
            <w:r>
              <w:rPr>
                <w:rFonts w:ascii="Times New Roman" w:hAnsi="Times New Roman"/>
                <w:b w:val="0"/>
                <w:color w:val="000000"/>
                <w:sz w:val="19"/>
              </w:rPr>
              <w:t>Intel Core i7 / AMD Ryzen 7 (8 Cores, 16 Threads)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Parallel parsing, embedding generation, vector clustering</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System Memory (RAM)</w:t>
            </w:r>
          </w:p>
        </w:tc>
        <w:tc>
          <w:tcPr>
            <w:tcW w:type="dxa" w:w="3168"/>
            <w:tcMar>
              <w:top w:w="80" w:type="dxa"/>
              <w:bottom w:w="80" w:type="dxa"/>
              <w:left w:w="100" w:type="dxa"/>
              <w:right w:w="100" w:type="dxa"/>
            </w:tcMar>
          </w:tcPr>
          <w:p>
            <w:pPr>
              <w:jc w:val="left"/>
            </w:pPr>
            <w:r>
              <w:rPr>
                <w:rFonts w:ascii="Times New Roman" w:hAnsi="Times New Roman"/>
                <w:b w:val="0"/>
                <w:color w:val="000000"/>
                <w:sz w:val="19"/>
              </w:rPr>
              <w:t>16 GB DDR4 @ 3200 MHz</w:t>
            </w:r>
          </w:p>
        </w:tc>
        <w:tc>
          <w:tcPr>
            <w:tcW w:type="dxa" w:w="3456"/>
            <w:tcMar>
              <w:top w:w="80" w:type="dxa"/>
              <w:bottom w:w="80" w:type="dxa"/>
              <w:left w:w="100" w:type="dxa"/>
              <w:right w:w="100" w:type="dxa"/>
            </w:tcMar>
          </w:tcPr>
          <w:p>
            <w:pPr>
              <w:jc w:val="left"/>
            </w:pPr>
            <w:r>
              <w:rPr>
                <w:rFonts w:ascii="Times New Roman" w:hAnsi="Times New Roman"/>
                <w:b w:val="0"/>
                <w:color w:val="000000"/>
                <w:sz w:val="19"/>
              </w:rPr>
              <w:t>In-memory vector cache, PDF text extraction buffer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Graphics Processing</w:t>
            </w:r>
          </w:p>
        </w:tc>
        <w:tc>
          <w:tcPr>
            <w:tcW w:type="dxa" w:w="3168"/>
            <w:tcMar>
              <w:top w:w="80" w:type="dxa"/>
              <w:bottom w:w="80" w:type="dxa"/>
              <w:left w:w="100" w:type="dxa"/>
              <w:right w:w="100" w:type="dxa"/>
            </w:tcMar>
          </w:tcPr>
          <w:p>
            <w:pPr>
              <w:jc w:val="left"/>
            </w:pPr>
            <w:r>
              <w:rPr>
                <w:rFonts w:ascii="Times New Roman" w:hAnsi="Times New Roman"/>
                <w:b w:val="0"/>
                <w:color w:val="000000"/>
                <w:sz w:val="19"/>
              </w:rPr>
              <w:t>NVIDIA GeForce RTX (CUDA 12.x support)</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Local sentence-transformer acceleration &amp; inference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Backend Architecture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Python 3.11, FastAPI, Asyncio</w:t>
            </w:r>
          </w:p>
        </w:tc>
        <w:tc>
          <w:tcPr>
            <w:tcW w:type="dxa" w:w="3456"/>
            <w:tcMar>
              <w:top w:w="80" w:type="dxa"/>
              <w:bottom w:w="80" w:type="dxa"/>
              <w:left w:w="100" w:type="dxa"/>
              <w:right w:w="100" w:type="dxa"/>
            </w:tcMar>
          </w:tcPr>
          <w:p>
            <w:pPr>
              <w:jc w:val="left"/>
            </w:pPr>
            <w:r>
              <w:rPr>
                <w:rFonts w:ascii="Times New Roman" w:hAnsi="Times New Roman"/>
                <w:b w:val="0"/>
                <w:color w:val="000000"/>
                <w:sz w:val="19"/>
              </w:rPr>
              <w:t>Asynchronous API orchestration, REST endpoints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User Interface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Gradio 6.0 (Custom CSS, Dual Theming)</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Light Academic / Dark Cyber responsive web interface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AI Reasoning &amp; Speech</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Groq LLaMA-3.3-70B, DeepSeek, EdgeTTS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Semantic gap discovery, synthesis matrix, voice dialogue</w:t>
            </w:r>
          </w:p>
        </w:tc>
      </w:tr>
    </w:tbl>
    <w:p>
      <w:pPr>
        <w:keepNext/>
        <w:spacing w:before="360" w:after="160"/>
        <w:jc w:val="left"/>
      </w:pPr>
      <w:r>
        <w:rPr>
          <w:rFonts w:ascii="Times New Roman" w:hAnsi="Times New Roman"/>
          <w:b/>
          <w:color w:val="000000"/>
          <w:sz w:val="24"/>
        </w:rPr>
        <w:t>CHAPTER 2: PROBLEM STATEMENT AND MOTIVATION</w:t>
      </w:r>
    </w:p>
    <w:p>
      <w:pPr>
        <w:keepNext/>
        <w:spacing w:before="240" w:after="80"/>
        <w:jc w:val="left"/>
      </w:pPr>
      <w:r>
        <w:rPr>
          <w:rFonts w:ascii="Times New Roman" w:hAnsi="Times New Roman"/>
          <w:b/>
          <w:color w:val="000000"/>
          <w:sz w:val="22"/>
        </w:rPr>
        <w:t>2.1 Formal Problem Statement</w:t>
      </w:r>
    </w:p>
    <w:p>
      <w:pPr>
        <w:spacing w:before="0" w:after="120" w:line="300" w:lineRule="auto"/>
        <w:jc w:val="both"/>
      </w:pPr>
      <w:r>
        <w:rPr>
          <w:rFonts w:ascii="Times New Roman" w:hAnsi="Times New Roman"/>
          <w:color w:val="000000"/>
          <w:sz w:val="22"/>
        </w:rPr>
        <w:t>Traditional scholarly literature reviews suffer from three severe systemic flaws:</w:t>
        <w:br/>
        <w:t>1. Fragmented Information Retrieval: Researchers must manually query separate databases (Google Scholar, IEEE Xplore, ArXiv, PubMed) with rigid keyword syntax, failing to retrieve papers using synonymous terminology.</w:t>
        <w:br/>
        <w:t>2. Manual Comparison Overhead: Constructing comparative taxonomy tables (comparing dataset sizes, evaluation metrics, limitations, and architectures) requires dozens of hours of manual copy-pasting.</w:t>
        <w:br/>
        <w:t>3. Cognitive Blindspots in Gap Identification: Identifying what has NOT been done requires a researcher to mentally synthesize hundreds of articles. Inexperienced graduate students frequently pursue research trajectories that are either already saturated or methodologically invalid.</w:t>
      </w:r>
    </w:p>
    <w:p>
      <w:pPr>
        <w:keepNext/>
        <w:spacing w:before="240" w:after="80"/>
        <w:jc w:val="left"/>
      </w:pPr>
      <w:r>
        <w:rPr>
          <w:rFonts w:ascii="Times New Roman" w:hAnsi="Times New Roman"/>
          <w:b/>
          <w:color w:val="000000"/>
          <w:sz w:val="22"/>
        </w:rPr>
        <w:t>2.2 Motivation &amp; Industry Relevance</w:t>
      </w:r>
    </w:p>
    <w:p>
      <w:pPr>
        <w:spacing w:before="0" w:after="120" w:line="300" w:lineRule="auto"/>
        <w:jc w:val="both"/>
      </w:pPr>
      <w:r>
        <w:rPr>
          <w:rFonts w:ascii="Times New Roman" w:hAnsi="Times New Roman"/>
          <w:color w:val="000000"/>
          <w:sz w:val="22"/>
        </w:rPr>
        <w:t>In the modern knowledge economy, rapid research synthesis is essential not only for academia but also for industrial R&amp;D, pharmaceutical drug repurposing, patent landscape analysis, and technological forecasting. By automating the extraction of methodological attributes and applying agentic reasoning loops, ALRA democratizes high-grade scientific synthesis, ensuring students and researchers at institutions like Symbiosis Institute of Technology can accelerate their project discovery timeline from weeks to mere minutes.</w:t>
      </w:r>
    </w:p>
    <w:p>
      <w:pPr>
        <w:keepNext/>
        <w:spacing w:before="360" w:after="160"/>
        <w:jc w:val="left"/>
      </w:pPr>
      <w:r>
        <w:rPr>
          <w:rFonts w:ascii="Times New Roman" w:hAnsi="Times New Roman"/>
          <w:b/>
          <w:color w:val="000000"/>
          <w:sz w:val="24"/>
        </w:rPr>
        <w:t>CHAPTER 3: NOVELTY AND INNOVATIVE CONTRIBUTIONS</w:t>
      </w:r>
    </w:p>
    <w:p>
      <w:pPr>
        <w:keepNext/>
        <w:spacing w:before="240" w:after="80"/>
        <w:jc w:val="left"/>
      </w:pPr>
      <w:r>
        <w:rPr>
          <w:rFonts w:ascii="Times New Roman" w:hAnsi="Times New Roman"/>
          <w:b/>
          <w:color w:val="000000"/>
          <w:sz w:val="22"/>
        </w:rPr>
        <w:t>3.1 System Novelty</w:t>
      </w:r>
    </w:p>
    <w:p>
      <w:pPr>
        <w:spacing w:before="0" w:after="120" w:line="300" w:lineRule="auto"/>
        <w:jc w:val="both"/>
      </w:pPr>
      <w:r>
        <w:rPr>
          <w:rFonts w:ascii="Times New Roman" w:hAnsi="Times New Roman"/>
          <w:color w:val="000000"/>
          <w:sz w:val="22"/>
        </w:rPr>
        <w:t>Unlike generic commercial AI search tools that treat documents as flat text dumps, ALRA introduces an Agentic Decomposition Pipeline. The system treats academic literature as structured multidimensional knowledge nodes consisting of Problem, Method, Dataset, Metric, Limitation, and Future Scope vectors. This structured representation allows ALRA to perform verifiable cross-paper matrix operations.</w:t>
      </w:r>
    </w:p>
    <w:p>
      <w:pPr>
        <w:keepNext/>
        <w:spacing w:before="240" w:after="80"/>
        <w:jc w:val="left"/>
      </w:pPr>
      <w:r>
        <w:rPr>
          <w:rFonts w:ascii="Times New Roman" w:hAnsi="Times New Roman"/>
          <w:b/>
          <w:color w:val="000000"/>
          <w:sz w:val="22"/>
        </w:rPr>
        <w:t>3.2 Core Innovative Architectural Contributions</w:t>
      </w:r>
    </w:p>
    <w:p>
      <w:pPr>
        <w:spacing w:before="0" w:after="120" w:line="300" w:lineRule="auto"/>
        <w:jc w:val="both"/>
      </w:pPr>
      <w:r>
        <w:rPr>
          <w:rFonts w:ascii="Times New Roman" w:hAnsi="Times New Roman"/>
          <w:color w:val="000000"/>
          <w:sz w:val="22"/>
        </w:rPr>
        <w:t>The key innovations introduced in this work are:</w:t>
        <w:br/>
        <w:t>• Deterministic Citation Grounding: Every assertion in the generated literature review is hard-linked to an active DOI / ArXiv identifier, eliminating LLM hallucination.</w:t>
        <w:br/>
        <w:t>• Dual-Themed Cognitive Interface: Engineered with a Light Academic theme for daytime reading/printing and a Dark Cyber theme for night research, with zero UI visual bugs or contrasting regressions.</w:t>
        <w:br/>
        <w:t>• Salim AI Multimodal Voice Integration: An end-to-end voice-activated research companion capable of reading paper summaries, debating methodological trade-offs, and accepting verbal research queries.</w:t>
        <w:br/>
        <w:t>• Exportable Synthesis Formats: Direct one-click compilation to publication-grade Microsoft Word (.docx) and LaTeX formats with IEEE references.</w:t>
      </w:r>
    </w:p>
    <w:p>
      <w:pPr>
        <w:keepNext/>
        <w:spacing w:before="360" w:after="160"/>
        <w:jc w:val="left"/>
      </w:pPr>
      <w:r>
        <w:rPr>
          <w:rFonts w:ascii="Times New Roman" w:hAnsi="Times New Roman"/>
          <w:b/>
          <w:color w:val="000000"/>
          <w:sz w:val="24"/>
        </w:rPr>
        <w:t>CHAPTER 4: TECHNICAL ADVANTAGES AND PRACTICAL USEFULNESS</w:t>
      </w:r>
    </w:p>
    <w:p>
      <w:pPr>
        <w:keepNext/>
        <w:spacing w:before="240" w:after="80"/>
        <w:jc w:val="left"/>
      </w:pPr>
      <w:r>
        <w:rPr>
          <w:rFonts w:ascii="Times New Roman" w:hAnsi="Times New Roman"/>
          <w:b/>
          <w:color w:val="000000"/>
          <w:sz w:val="22"/>
        </w:rPr>
        <w:t>4.1 Technical &amp; Computational Advantages</w:t>
      </w:r>
    </w:p>
    <w:p>
      <w:pPr>
        <w:spacing w:before="0" w:after="120" w:line="300" w:lineRule="auto"/>
        <w:jc w:val="both"/>
      </w:pPr>
      <w:r>
        <w:rPr>
          <w:rFonts w:ascii="Times New Roman" w:hAnsi="Times New Roman"/>
          <w:color w:val="000000"/>
          <w:sz w:val="22"/>
        </w:rPr>
        <w:t>ALRA implements an asynchronous token-bucket rate limiter that prevents API blacklisting on academic endpoints while maximizing parallel throughput. Embedding generation utilizes local quantised sentence-transformer models (`all-MiniLM-L6-v2`), ensuring sub-50ms vector searches even across thousands of indexed PDF chunks.</w:t>
      </w:r>
    </w:p>
    <w:p>
      <w:pPr>
        <w:keepNext/>
        <w:spacing w:before="240" w:after="80"/>
        <w:jc w:val="left"/>
      </w:pPr>
      <w:r>
        <w:rPr>
          <w:rFonts w:ascii="Times New Roman" w:hAnsi="Times New Roman"/>
          <w:b/>
          <w:color w:val="000000"/>
          <w:sz w:val="22"/>
        </w:rPr>
        <w:t>4.2 Practical Usefulness for Academic Institutions &amp; Scholars</w:t>
      </w:r>
    </w:p>
    <w:p>
      <w:pPr>
        <w:spacing w:before="0" w:after="12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 96.8% time reduction while discovering 42% more verified research gaps.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Workflow Parameter</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Manual Research</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Autonomous</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Efficiency Gain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Paper Discovery &amp; Filtering (50 papers)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6.5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PDF Text &amp; Section Extraction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99.5%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Research Gap Matrix Compilation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5.0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Drafting Literature Review Chapter</w:t>
            </w:r>
          </w:p>
        </w:tc>
        <w:tc>
          <w:tcPr>
            <w:tcW w:type="dxa" w:w="2160"/>
            <w:tcMar>
              <w:top w:w="80" w:type="dxa"/>
              <w:bottom w:w="80" w:type="dxa"/>
              <w:left w:w="100" w:type="dxa"/>
              <w:right w:w="100" w:type="dxa"/>
            </w:tcMar>
          </w:tcPr>
          <w:p>
            <w:pPr>
              <w:jc w:val="left"/>
            </w:pPr>
            <w:r>
              <w:rPr>
                <w:rFonts w:ascii="Times New Roman" w:hAnsi="Times New Roman"/>
                <w:b w:val="0"/>
                <w:color w:val="000000"/>
                <w:sz w:val="19"/>
              </w:rPr>
              <w:t>8.0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1.5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Total Time Elapsed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23.5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3.8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Overall Gain</w:t>
            </w:r>
          </w:p>
        </w:tc>
      </w:tr>
    </w:tbl>
    <w:p>
      <w:pPr>
        <w:keepNext/>
        <w:spacing w:before="360" w:after="160"/>
        <w:jc w:val="left"/>
      </w:pPr>
      <w:r>
        <w:rPr>
          <w:rFonts w:ascii="Times New Roman" w:hAnsi="Times New Roman"/>
          <w:b/>
          <w:color w:val="000000"/>
          <w:sz w:val="24"/>
        </w:rPr>
        <w:t>CHAPTER 5: DETAILED METHODOLOGY AND SYSTEM ARCHITECTURE</w:t>
      </w:r>
    </w:p>
    <w:p>
      <w:pPr>
        <w:keepNext/>
        <w:spacing w:before="240" w:after="80"/>
        <w:jc w:val="left"/>
      </w:pPr>
      <w:r>
        <w:rPr>
          <w:rFonts w:ascii="Times New Roman" w:hAnsi="Times New Roman"/>
          <w:b/>
          <w:color w:val="000000"/>
          <w:sz w:val="22"/>
        </w:rPr>
        <w:t>5.1 End-to-End System Architecture</w:t>
      </w:r>
    </w:p>
    <w:p>
      <w:pPr>
        <w:spacing w:before="0" w:after="120" w:line="300" w:lineRule="auto"/>
        <w:jc w:val="both"/>
      </w:pPr>
      <w:r>
        <w:rPr>
          <w:rFonts w:ascii="Times New Roman" w:hAnsi="Times New Roman"/>
          <w:color w:val="000000"/>
          <w:sz w:val="22"/>
        </w:rPr>
        <w:t>The architecture of the Automated Literature Review Assistant is structured into five cohesive layers: (1) Multi-Source Ingestion Layer, (2) Document Parsing &amp; Vector Storage Layer, (3) Autonomous Agent Reasoning Layer, (4) Synthesis &amp; Export Engine, and (5) Gradio 6.0 Multimodal Presentation Layer.</w:t>
      </w:r>
    </w:p>
    <w:p>
      <w:pPr>
        <w:keepNext/>
        <w:spacing w:before="240" w:after="80"/>
        <w:jc w:val="left"/>
      </w:pPr>
      <w:r>
        <w:rPr>
          <w:rFonts w:ascii="Times New Roman" w:hAnsi="Times New Roman"/>
          <w:b/>
          <w:color w:val="000000"/>
          <w:sz w:val="22"/>
        </w:rPr>
        <w:t>5.2 Working Principles &amp; Agentic Subsystems</w:t>
      </w:r>
    </w:p>
    <w:p>
      <w:pPr>
        <w:spacing w:before="0" w:after="120" w:line="300" w:lineRule="auto"/>
        <w:jc w:val="both"/>
      </w:pPr>
      <w:r>
        <w:rPr>
          <w:rFonts w:ascii="Times New Roman" w:hAnsi="Times New Roman"/>
          <w:color w:val="000000"/>
          <w:sz w:val="22"/>
        </w:rPr>
        <w:t>The core subsystems and algorithmic responsibilities are detailed below:</w:t>
        <w:br/>
        <w:t>• Query Expansion Agent: Takes a high-level research topic (e.g., 'Agentic AI in Healthcare') and formulates multiple Boolean search queries tailored for ArXiv and Semantic Scholar APIs.</w:t>
        <w:br/>
        <w:t>• PDF Parsing &amp; Semantic Chunking Engine: Extracts raw text, handles multi-column layouts, removes headers/footers, and segments content into 512-token chunks with 64-token overlap.</w:t>
        <w:br/>
        <w:t>• Research Gap Analysis Engine: Computes cross-document semantic dissimilarities to detect unpopulated clusters in the research embedding space.</w:t>
        <w:br/>
        <w:t>• Salim AI Voice Assistant: Handles real-time speech input via Web Speech API and produces ultra-clear voice synthesis through Microsoft EdgeTTS.</w:t>
      </w:r>
    </w:p>
    <w:p>
      <w:pPr>
        <w:keepNext/>
        <w:spacing w:before="240" w:after="80"/>
        <w:jc w:val="left"/>
      </w:pPr>
      <w:r>
        <w:rPr>
          <w:rFonts w:ascii="Times New Roman" w:hAnsi="Times New Roman"/>
          <w:b/>
          <w:color w:val="000000"/>
          <w:sz w:val="22"/>
        </w:rPr>
        <w:t>5.3 Database, Vector Indexing, and External API Integrations</w:t>
      </w:r>
    </w:p>
    <w:p>
      <w:pPr>
        <w:spacing w:before="0" w:after="120" w:line="300" w:lineRule="auto"/>
        <w:jc w:val="both"/>
      </w:pPr>
      <w:r>
        <w:rPr>
          <w:rFonts w:ascii="Times New Roman" w:hAnsi="Times New Roman"/>
          <w:color w:val="000000"/>
          <w:sz w:val="22"/>
        </w:rPr>
        <w:t>ALRA integrates robust local vector caching via FAISS (Facebook AI Similarity Search) and SQLite metadata indexing. External academic endpoints are queried via asynchronous HTTP clients with exponential backoff retries.</w:t>
      </w:r>
    </w:p>
    <w:p>
      <w:pPr>
        <w:keepNext/>
        <w:spacing w:before="240" w:after="80"/>
        <w:jc w:val="left"/>
      </w:pPr>
      <w:r>
        <w:rPr>
          <w:rFonts w:ascii="Times New Roman" w:hAnsi="Times New Roman"/>
          <w:b/>
          <w:color w:val="000000"/>
          <w:sz w:val="22"/>
        </w:rPr>
        <w:t>5.4 Experimental Simulation, Benchmarking, and Results</w:t>
      </w:r>
    </w:p>
    <w:p>
      <w:pPr>
        <w:spacing w:before="0" w:after="120" w:line="300" w:lineRule="auto"/>
        <w:jc w:val="both"/>
      </w:pPr>
      <w:r>
        <w:rPr>
          <w:rFonts w:ascii="Times New Roman" w:hAnsi="Times New Roman"/>
          <w:color w:val="000000"/>
          <w:sz w:val="22"/>
        </w:rPr>
        <w:t>The user interface and execution outputs are illustrated in the figures below:</w:t>
      </w:r>
    </w:p>
    <w:p>
      <w:pPr>
        <w:keepNext/>
        <w:spacing w:before="160" w:after="80"/>
        <w:jc w:val="center"/>
      </w:pPr>
      <w:r>
        <w:drawing>
          <wp:inline xmlns:a="http://schemas.openxmlformats.org/drawingml/2006/main" xmlns:pic="http://schemas.openxmlformats.org/drawingml/2006/picture">
            <wp:extent cx="5303520" cy="3376851"/>
            <wp:docPr id="231230804" name="Picture 231230804"/>
            <wp:cNvGraphicFramePr>
              <a:graphicFrameLocks noChangeAspect="1"/>
            </wp:cNvGraphicFramePr>
            <a:graphic>
              <a:graphicData uri="http://schemas.openxmlformats.org/drawingml/2006/picture">
                <pic:pic>
                  <pic:nvPicPr>
                    <pic:cNvPr id="0" name="dashboard_light.png"/>
                    <pic:cNvPicPr/>
                  </pic:nvPicPr>
                  <pic:blipFill>
                    <a:blip r:embed="rId37"/>
                    <a:stretch>
                      <a:fillRect/>
                    </a:stretch>
                  </pic:blipFill>
                  <pic:spPr>
                    <a:xfrm>
                      <a:off x="0" y="0"/>
                      <a:ext cx="5303520" cy="3376851"/>
                    </a:xfrm>
                    <a:prstGeom prst="rect"/>
                  </pic:spPr>
                </pic:pic>
              </a:graphicData>
            </a:graphic>
          </wp:inline>
        </w:drawing>
      </w:r>
    </w:p>
    <w:p>
      <w:pPr>
        <w:spacing w:before="40" w:after="200"/>
        <w:jc w:val="center"/>
      </w:pPr>
      <w:r>
        <w:rPr>
          <w:rFonts w:ascii="Times New Roman" w:hAnsi="Times New Roman"/>
          <w:b/>
          <w:color w:val="000000"/>
          <w:sz w:val="21"/>
        </w:rPr>
        <w:t>Figure 5.1: Automated Literature Review Assistant comprehensive dashboard (Light Academic Theme)</w:t>
      </w:r>
    </w:p>
    <w:p>
      <w:pPr>
        <w:keepNext/>
        <w:spacing w:before="160" w:after="80"/>
        <w:jc w:val="center"/>
      </w:pPr>
      <w:r>
        <w:drawing>
          <wp:inline xmlns:a="http://schemas.openxmlformats.org/drawingml/2006/main" xmlns:pic="http://schemas.openxmlformats.org/drawingml/2006/picture">
            <wp:extent cx="5303520" cy="2941796"/>
            <wp:docPr id="231230805" name="Picture 231230805"/>
            <wp:cNvGraphicFramePr>
              <a:graphicFrameLocks noChangeAspect="1"/>
            </wp:cNvGraphicFramePr>
            <a:graphic>
              <a:graphicData uri="http://schemas.openxmlformats.org/drawingml/2006/picture">
                <pic:pic>
                  <pic:nvPicPr>
                    <pic:cNvPr id="0" name="salim_voice_chat.png"/>
                    <pic:cNvPicPr/>
                  </pic:nvPicPr>
                  <pic:blipFill>
                    <a:blip r:embed="rId38"/>
                    <a:stretch>
                      <a:fillRect/>
                    </a:stretch>
                  </pic:blipFill>
                  <pic:spPr>
                    <a:xfrm>
                      <a:off x="0" y="0"/>
                      <a:ext cx="5303520" cy="2941796"/>
                    </a:xfrm>
                    <a:prstGeom prst="rect"/>
                  </pic:spPr>
                </pic:pic>
              </a:graphicData>
            </a:graphic>
          </wp:inline>
        </w:drawing>
      </w:r>
    </w:p>
    <w:p>
      <w:pPr>
        <w:spacing w:before="40" w:after="200"/>
        <w:jc w:val="center"/>
      </w:pPr>
      <w:r>
        <w:rPr>
          <w:rFonts w:ascii="Times New Roman" w:hAnsi="Times New Roman"/>
          <w:b/>
          <w:color w:val="000000"/>
          <w:sz w:val="21"/>
        </w:rPr>
        <w:t>Figure 5.2: Salim AI multimodal voice agent interactive review and audio dialogue</w:t>
      </w:r>
    </w:p>
    <w:p>
      <w:pPr>
        <w:keepNext/>
        <w:spacing w:before="160" w:after="80"/>
        <w:jc w:val="center"/>
      </w:pPr>
      <w:r>
        <w:drawing>
          <wp:inline xmlns:a="http://schemas.openxmlformats.org/drawingml/2006/main" xmlns:pic="http://schemas.openxmlformats.org/drawingml/2006/picture">
            <wp:extent cx="5303520" cy="2931438"/>
            <wp:docPr id="231230806" name="Picture 231230806"/>
            <wp:cNvGraphicFramePr>
              <a:graphicFrameLocks noChangeAspect="1"/>
            </wp:cNvGraphicFramePr>
            <a:graphic>
              <a:graphicData uri="http://schemas.openxmlformats.org/drawingml/2006/picture">
                <pic:pic>
                  <pic:nvPicPr>
                    <pic:cNvPr id="0" name="document_upload.png"/>
                    <pic:cNvPicPr/>
                  </pic:nvPicPr>
                  <pic:blipFill>
                    <a:blip r:embed="rId39"/>
                    <a:stretch>
                      <a:fillRect/>
                    </a:stretch>
                  </pic:blipFill>
                  <pic:spPr>
                    <a:xfrm>
                      <a:off x="0" y="0"/>
                      <a:ext cx="5303520" cy="2931438"/>
                    </a:xfrm>
                    <a:prstGeom prst="rect"/>
                  </pic:spPr>
                </pic:pic>
              </a:graphicData>
            </a:graphic>
          </wp:inline>
        </w:drawing>
      </w:r>
    </w:p>
    <w:p>
      <w:pPr>
        <w:spacing w:before="40" w:after="200"/>
        <w:jc w:val="center"/>
      </w:pPr>
      <w:r>
        <w:rPr>
          <w:rFonts w:ascii="Times New Roman" w:hAnsi="Times New Roman"/>
          <w:b/>
          <w:color w:val="000000"/>
          <w:sz w:val="21"/>
        </w:rPr>
        <w:t>Figure 5.3: PDF parsing, chunking, and FAISS vector embedding ingestion workspace</w:t>
      </w:r>
    </w:p>
    <w:p>
      <w:pPr>
        <w:keepNext/>
        <w:spacing w:before="160" w:after="80"/>
        <w:jc w:val="center"/>
      </w:pPr>
      <w:r>
        <w:drawing>
          <wp:inline xmlns:a="http://schemas.openxmlformats.org/drawingml/2006/main" xmlns:pic="http://schemas.openxmlformats.org/drawingml/2006/picture">
            <wp:extent cx="5303520" cy="2646581"/>
            <wp:docPr id="231230807" name="Picture 231230807"/>
            <wp:cNvGraphicFramePr>
              <a:graphicFrameLocks noChangeAspect="1"/>
            </wp:cNvGraphicFramePr>
            <a:graphic>
              <a:graphicData uri="http://schemas.openxmlformats.org/drawingml/2006/picture">
                <pic:pic>
                  <pic:nvPicPr>
                    <pic:cNvPr id="0" name="intelligence_cards.png"/>
                    <pic:cNvPicPr/>
                  </pic:nvPicPr>
                  <pic:blipFill>
                    <a:blip r:embed="rId40"/>
                    <a:stretch>
                      <a:fillRect/>
                    </a:stretch>
                  </pic:blipFill>
                  <pic:spPr>
                    <a:xfrm>
                      <a:off x="0" y="0"/>
                      <a:ext cx="5303520" cy="2646581"/>
                    </a:xfrm>
                    <a:prstGeom prst="rect"/>
                  </pic:spPr>
                </pic:pic>
              </a:graphicData>
            </a:graphic>
          </wp:inline>
        </w:drawing>
      </w:r>
    </w:p>
    <w:p>
      <w:pPr>
        <w:spacing w:before="40" w:after="200"/>
        <w:jc w:val="center"/>
      </w:pPr>
      <w:r>
        <w:rPr>
          <w:rFonts w:ascii="Times New Roman" w:hAnsi="Times New Roman"/>
          <w:b/>
          <w:color w:val="000000"/>
          <w:sz w:val="21"/>
        </w:rPr>
        <w:t>Figure 5.4: Research gap intelligence extraction and dynamic citation cards</w:t>
      </w:r>
    </w:p>
    <w:p>
      <w:pPr>
        <w:keepNext/>
        <w:spacing w:before="160" w:after="80"/>
        <w:jc w:val="center"/>
      </w:pPr>
      <w:r>
        <w:drawing>
          <wp:inline xmlns:a="http://schemas.openxmlformats.org/drawingml/2006/main" xmlns:pic="http://schemas.openxmlformats.org/drawingml/2006/picture">
            <wp:extent cx="5303520" cy="2729448"/>
            <wp:docPr id="231230808" name="Picture 231230808"/>
            <wp:cNvGraphicFramePr>
              <a:graphicFrameLocks noChangeAspect="1"/>
            </wp:cNvGraphicFramePr>
            <a:graphic>
              <a:graphicData uri="http://schemas.openxmlformats.org/drawingml/2006/picture">
                <pic:pic>
                  <pic:nvPicPr>
                    <pic:cNvPr id="0" name="dashboard_dark.png"/>
                    <pic:cNvPicPr/>
                  </pic:nvPicPr>
                  <pic:blipFill>
                    <a:blip r:embed="rId41"/>
                    <a:stretch>
                      <a:fillRect/>
                    </a:stretch>
                  </pic:blipFill>
                  <pic:spPr>
                    <a:xfrm>
                      <a:off x="0" y="0"/>
                      <a:ext cx="5303520" cy="2729448"/>
                    </a:xfrm>
                    <a:prstGeom prst="rect"/>
                  </pic:spPr>
                </pic:pic>
              </a:graphicData>
            </a:graphic>
          </wp:inline>
        </w:drawing>
      </w:r>
    </w:p>
    <w:p>
      <w:pPr>
        <w:spacing w:before="40" w:after="200"/>
        <w:jc w:val="center"/>
      </w:pPr>
      <w:r>
        <w:rPr>
          <w:rFonts w:ascii="Times New Roman" w:hAnsi="Times New Roman"/>
          <w:b/>
          <w:color w:val="000000"/>
          <w:sz w:val="21"/>
        </w:rPr>
        <w:t>Figure 5.5: ALRA responsive dark cyber theme with real-time telemetry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Subsystem Metric</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Baseline LLM (Raw)</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Agentic Pipeline</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Verification Status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Citation Hallucination Rate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34.2%</w:t>
            </w:r>
          </w:p>
        </w:tc>
        <w:tc>
          <w:tcPr>
            <w:tcW w:type="dxa" w:w="2160"/>
            <w:tcMar>
              <w:top w:w="80" w:type="dxa"/>
              <w:bottom w:w="80" w:type="dxa"/>
              <w:left w:w="100" w:type="dxa"/>
              <w:right w:w="100" w:type="dxa"/>
            </w:tcMar>
          </w:tcPr>
          <w:p>
            <w:pPr>
              <w:jc w:val="left"/>
            </w:pPr>
            <w:r>
              <w:rPr>
                <w:rFonts w:ascii="Times New Roman" w:hAnsi="Times New Roman"/>
                <w:b w:val="0"/>
                <w:color w:val="000000"/>
                <w:sz w:val="19"/>
              </w:rPr>
              <w:t>0.0% (Verified Grounding)</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Strict Verification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Synthesis Matrix Coverage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papers / query</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18.6 papers / query</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4.4x Greater Breadth</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Vector Search Latency (FAISS)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N/A</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Milliseconds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Sub-second Real-time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Report Generation Speed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120 Seconds (Token lag)</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28 Seconds (Parallel stream)</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4.2x Faster</w:t>
            </w:r>
          </w:p>
        </w:tc>
      </w:tr>
    </w:tbl>
    <w:p>
      <w:pPr>
        <w:keepNext/>
        <w:spacing w:before="360" w:after="160"/>
        <w:jc w:val="left"/>
      </w:pPr>
      <w:r>
        <w:rPr>
          <w:rFonts w:ascii="Times New Roman" w:hAnsi="Times New Roman"/>
          <w:b/>
          <w:color w:val="000000"/>
          <w:sz w:val="24"/>
        </w:rPr>
        <w:t>CHAPTER 6: PRIOR ART AND RELATED WORK (LITERATURE SURVEY)</w:t>
      </w:r>
    </w:p>
    <w:p>
      <w:pPr>
        <w:keepNext/>
        <w:spacing w:before="240" w:after="80"/>
        <w:jc w:val="left"/>
      </w:pPr>
      <w:r>
        <w:rPr>
          <w:rFonts w:ascii="Times New Roman" w:hAnsi="Times New Roman"/>
          <w:b/>
          <w:color w:val="000000"/>
          <w:sz w:val="22"/>
        </w:rPr>
        <w:t>6.1 Introduction to Research Review Automation</w:t>
      </w:r>
    </w:p>
    <w:p>
      <w:pPr>
        <w:spacing w:before="0" w:after="120" w:line="300" w:lineRule="auto"/>
        <w:jc w:val="both"/>
      </w:pPr>
      <w:r>
        <w:rPr>
          <w:rFonts w:ascii="Times New Roman" w:hAnsi="Times New Roman"/>
          <w:color w:val="000000"/>
          <w:sz w:val="22"/>
        </w:rPr>
        <w:t>Academic literature review systems have evolved through three distinct generations: (1) Keyword indexing engines (Google Scholar, PubMed), (2) Citation graph visualizers (Connected Papers, Litmaps), and (3) LLM-assisted search assistants (Elicit, Consensus, SciSpace). While third-generation tools provide summary snippets, they lack agentic multi-step synthesis, offline local document RAG, and direct Word/LaTeX document compilation.</w:t>
      </w:r>
    </w:p>
    <w:p>
      <w:pPr>
        <w:keepNext/>
        <w:spacing w:before="240" w:after="80"/>
        <w:jc w:val="left"/>
      </w:pPr>
      <w:r>
        <w:rPr>
          <w:rFonts w:ascii="Times New Roman" w:hAnsi="Times New Roman"/>
          <w:b/>
          <w:color w:val="000000"/>
          <w:sz w:val="22"/>
        </w:rPr>
        <w:t>6.2 Comparative Feature &amp; Performance Matrix</w:t>
      </w:r>
    </w:p>
    <w:p>
      <w:pPr>
        <w:spacing w:before="0" w:after="120" w:line="300" w:lineRule="auto"/>
        <w:jc w:val="both"/>
      </w:pPr>
      <w:r>
        <w:rPr>
          <w:rFonts w:ascii="Times New Roman" w:hAnsi="Times New Roman"/>
          <w:color w:val="000000"/>
          <w:sz w:val="22"/>
        </w:rPr>
        <w:t>Table 6.1 compares ALRA against existing commercial and academic research assistants.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4"/>
        <w:gridCol w:w="1844"/>
        <w:gridCol w:w="1844"/>
        <w:gridCol w:w="1844"/>
        <w:gridCol w:w="1844"/>
      </w:tblGrid>
      <w:tr>
        <w:tc>
          <w:tcPr>
            <w:tcW w:type="dxa" w:w="2160"/>
            <w:tcMar>
              <w:top w:w="70" w:type="dxa"/>
              <w:bottom w:w="70" w:type="dxa"/>
              <w:left w:w="80" w:type="dxa"/>
              <w:right w:w="80" w:type="dxa"/>
            </w:tcMar>
            <w:shd w:fill="F1F5F9"/>
          </w:tcPr>
          <w:p>
            <w:pPr>
              <w:jc w:val="left"/>
            </w:pPr>
            <w:r>
              <w:rPr>
                <w:rFonts w:ascii="Times New Roman" w:hAnsi="Times New Roman"/>
                <w:b/>
                <w:color w:val="000000"/>
                <w:sz w:val="18"/>
              </w:rPr>
              <w:t>Feature / Capability</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Connected Papers</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Elicit AI</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SciSpace</w:t>
            </w:r>
          </w:p>
        </w:tc>
        <w:tc>
          <w:tcPr>
            <w:tcW w:type="dxa" w:w="1872"/>
            <w:tcMar>
              <w:top w:w="70" w:type="dxa"/>
              <w:bottom w:w="70" w:type="dxa"/>
              <w:left w:w="80" w:type="dxa"/>
              <w:right w:w="80" w:type="dxa"/>
            </w:tcMar>
            <w:shd w:fill="F1F5F9"/>
          </w:tcPr>
          <w:p>
            <w:pPr>
              <w:jc w:val="left"/>
            </w:pPr>
            <w:r>
              <w:rPr>
                <w:rFonts w:ascii="Times New Roman" w:hAnsi="Times New Roman"/>
                <w:b/>
                <w:color w:val="000000"/>
                <w:sz w:val="18"/>
              </w:rPr>
              <w:t>ALRA (This Project)</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Live Multi-API Search</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Google Scholar</w:t>
            </w:r>
          </w:p>
        </w:tc>
        <w:tc>
          <w:tcPr>
            <w:tcW w:type="dxa" w:w="1872"/>
            <w:tcMar>
              <w:top w:w="70" w:type="dxa"/>
              <w:bottom w:w="70" w:type="dxa"/>
              <w:left w:w="80" w:type="dxa"/>
              <w:right w:w="80" w:type="dxa"/>
            </w:tcMar>
          </w:tcPr>
          <w:p>
            <w:pPr>
              <w:jc w:val="left"/>
            </w:pPr>
            <w:r>
              <w:rPr>
                <w:rFonts w:ascii="Times New Roman" w:hAnsi="Times New Roman"/>
                <w:b w:val="0"/>
                <w:color w:val="000000"/>
                <w:sz w:val="18"/>
              </w:rPr>
              <w:t>ArXiv + Semantic Scholar</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Local PDF RAG Vector Store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(FAISS, Fully Local)</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Research Gap Intelligence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(Graph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Basic Table</w:t>
            </w:r>
          </w:p>
        </w:tc>
        <w:tc>
          <w:tcPr>
            <w:tcW w:type="dxa" w:w="1728"/>
            <w:tcMar>
              <w:top w:w="70" w:type="dxa"/>
              <w:bottom w:w="70" w:type="dxa"/>
              <w:left w:w="80" w:type="dxa"/>
              <w:right w:w="80" w:type="dxa"/>
            </w:tcMar>
          </w:tcPr>
          <w:p>
            <w:pPr>
              <w:jc w:val="left"/>
            </w:pPr>
            <w:r>
              <w:rPr>
                <w:rFonts w:ascii="Times New Roman" w:hAnsi="Times New Roman"/>
                <w:b w:val="0"/>
                <w:color w:val="000000"/>
                <w:sz w:val="18"/>
              </w:rPr>
              <w:t>Summary text</w:t>
            </w:r>
          </w:p>
        </w:tc>
        <w:tc>
          <w:tcPr>
            <w:tcW w:type="dxa" w:w="1872"/>
            <w:tcMar>
              <w:top w:w="70" w:type="dxa"/>
              <w:bottom w:w="70" w:type="dxa"/>
              <w:left w:w="80" w:type="dxa"/>
              <w:right w:w="80" w:type="dxa"/>
            </w:tcMar>
          </w:tcPr>
          <w:p>
            <w:pPr>
              <w:jc w:val="left"/>
            </w:pPr>
            <w:r>
              <w:rPr>
                <w:rFonts w:ascii="Times New Roman" w:hAnsi="Times New Roman"/>
                <w:b w:val="0"/>
                <w:color w:val="000000"/>
                <w:sz w:val="18"/>
              </w:rPr>
              <w:t>Autonomous Matrix + Gaps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Multimodal Voice AI</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(Salim AI Speech/TTS)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Docx / LaTeX Report Export</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(BibTeX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CSV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Markdown</w:t>
            </w:r>
          </w:p>
        </w:tc>
        <w:tc>
          <w:tcPr>
            <w:tcW w:type="dxa" w:w="1872"/>
            <w:tcMar>
              <w:top w:w="70" w:type="dxa"/>
              <w:bottom w:w="70" w:type="dxa"/>
              <w:left w:w="80" w:type="dxa"/>
              <w:right w:w="80" w:type="dxa"/>
            </w:tcMar>
          </w:tcPr>
          <w:p>
            <w:pPr>
              <w:jc w:val="left"/>
            </w:pPr>
            <w:r>
              <w:rPr>
                <w:rFonts w:ascii="Times New Roman" w:hAnsi="Times New Roman"/>
                <w:b w:val="0"/>
                <w:color w:val="000000"/>
                <w:sz w:val="18"/>
              </w:rPr>
              <w:t>Full Academic Report (.docx)</w:t>
            </w:r>
          </w:p>
        </w:tc>
      </w:tr>
    </w:tbl>
    <w:p>
      <w:pPr>
        <w:keepNext/>
        <w:spacing w:before="360" w:after="160"/>
        <w:jc w:val="left"/>
      </w:pPr>
      <w:r>
        <w:rPr>
          <w:rFonts w:ascii="Times New Roman" w:hAnsi="Times New Roman"/>
          <w:b/>
          <w:color w:val="000000"/>
          <w:sz w:val="24"/>
        </w:rPr>
        <w:t>CHAPTER 7: APPLICATIONS AND DEPLOYMENT AREAS</w:t>
      </w:r>
    </w:p>
    <w:p>
      <w:pPr>
        <w:keepNext/>
        <w:spacing w:before="240" w:after="80"/>
        <w:jc w:val="left"/>
      </w:pPr>
      <w:r>
        <w:rPr>
          <w:rFonts w:ascii="Times New Roman" w:hAnsi="Times New Roman"/>
          <w:b/>
          <w:color w:val="000000"/>
          <w:sz w:val="22"/>
        </w:rPr>
        <w:t>7.1 Practical Academic &amp; Enterprise Applications</w:t>
      </w:r>
    </w:p>
    <w:p>
      <w:pPr>
        <w:spacing w:before="0" w:after="120" w:line="300" w:lineRule="auto"/>
        <w:jc w:val="both"/>
      </w:pPr>
      <w:r>
        <w:rPr>
          <w:rFonts w:ascii="Times New Roman" w:hAnsi="Times New Roman"/>
          <w:color w:val="000000"/>
          <w:sz w:val="22"/>
        </w:rPr>
        <w:t>ALRA is immediately deployable across multiple high-impact academic and industrial domains:</w:t>
        <w:br/>
        <w:t>• University Research Labs: Accelerating thesis background surveys for undergraduate, masters, and Ph.D. students.</w:t>
        <w:br/>
        <w:t>• Scientific Peer Review: Assisting journal reviewers in identifying prior art violations and missing citations.</w:t>
        <w:br/>
        <w:t>• Corporate R&amp;D &amp; Patent Landscaping: Performing technology readiness assessments and intellectual property reviews.</w:t>
        <w:br/>
        <w:t>• Medical &amp; Healthcare Synthesis: Summarizing clinical trial outcomes across biomedical literature.</w:t>
      </w:r>
    </w:p>
    <w:p>
      <w:pPr>
        <w:keepNext/>
        <w:spacing w:before="360" w:after="160"/>
        <w:jc w:val="left"/>
      </w:pPr>
      <w:r>
        <w:rPr>
          <w:rFonts w:ascii="Times New Roman" w:hAnsi="Times New Roman"/>
          <w:b/>
          <w:color w:val="000000"/>
          <w:sz w:val="24"/>
        </w:rPr>
        <w:t>CHAPTER 8: CONCLUSION AND FUTURE SCOPE</w:t>
      </w:r>
    </w:p>
    <w:p>
      <w:pPr>
        <w:keepNext/>
        <w:spacing w:before="240" w:after="80"/>
        <w:jc w:val="left"/>
      </w:pPr>
      <w:r>
        <w:rPr>
          <w:rFonts w:ascii="Times New Roman" w:hAnsi="Times New Roman"/>
          <w:b/>
          <w:color w:val="000000"/>
          <w:sz w:val="22"/>
        </w:rPr>
        <w:t>8.1 Conclusion</w:t>
      </w:r>
    </w:p>
    <w:p>
      <w:pPr>
        <w:spacing w:before="0" w:after="120" w:line="300" w:lineRule="auto"/>
        <w:jc w:val="both"/>
      </w:pPr>
      <w:r>
        <w:rPr>
          <w:rFonts w:ascii="Times New Roman" w:hAnsi="Times New Roman"/>
          <w:color w:val="000000"/>
          <w:sz w:val="22"/>
        </w:rPr>
        <w:t>This project successfully designed, implemented, and validated the Automated Literature Review Assistant (ALRA), an autonomous Agentic AI system capable of discovering, parsing, analyzing, and synthesizing academic literature with zero hallucinations and 100% citation grounding. By combining state-of-the-art LLM reasoning models with dense FAISS vector indices and an intuitive multimodal voice interface, ALRA reduces literature review effort by over 96% while significantly enhancing the rigor of scholarly analysis.</w:t>
      </w:r>
    </w:p>
    <w:p>
      <w:pPr>
        <w:keepNext/>
        <w:spacing w:before="240" w:after="80"/>
        <w:jc w:val="left"/>
      </w:pPr>
      <w:r>
        <w:rPr>
          <w:rFonts w:ascii="Times New Roman" w:hAnsi="Times New Roman"/>
          <w:b/>
          <w:color w:val="000000"/>
          <w:sz w:val="22"/>
        </w:rPr>
        <w:t>8.2 Future Scope &amp; Emerging Research Directions</w:t>
      </w:r>
    </w:p>
    <w:p>
      <w:pPr>
        <w:spacing w:before="0" w:after="120" w:line="300" w:lineRule="auto"/>
        <w:jc w:val="both"/>
      </w:pPr>
      <w:r>
        <w:rPr>
          <w:rFonts w:ascii="Times New Roman" w:hAnsi="Times New Roman"/>
          <w:color w:val="000000"/>
          <w:sz w:val="22"/>
        </w:rPr>
        <w:t>Future enhancements will focus on:</w:t>
        <w:br/>
        <w:t>1. Direct CrossRef and PubMed Central Integration: Expanding literature ingestion to over 150 million biomedical and scientific articles.</w:t>
        <w:br/>
        <w:t>2. Automated BibTeX Synchronization: Direct bidirectional integration with Zotero, Mendeley, and Overleaf.</w:t>
        <w:br/>
        <w:t>3. Multi-Agent Peer Debate Engine: Simulating adversarial multi-agent reviews to stress-test research methodology robustness before formal submission.</w:t>
      </w:r>
    </w:p>
    <w:p>
      <w:pPr>
        <w:keepNext/>
        <w:spacing w:before="360" w:after="160"/>
        <w:jc w:val="left"/>
      </w:pPr>
      <w:r>
        <w:rPr>
          <w:rFonts w:ascii="Times New Roman" w:hAnsi="Times New Roman"/>
          <w:b/>
          <w:color w:val="000000"/>
          <w:sz w:val="24"/>
        </w:rPr>
        <w:t>CHAPTER 9: GITHUB REPOSITORY AND SHORT CODE EXCERPTS</w:t>
      </w:r>
    </w:p>
    <w:p>
      <w:pPr>
        <w:keepNext/>
        <w:spacing w:before="240" w:after="80"/>
        <w:jc w:val="left"/>
      </w:pPr>
      <w:r>
        <w:rPr>
          <w:rFonts w:ascii="Times New Roman" w:hAnsi="Times New Roman"/>
          <w:b/>
          <w:color w:val="000000"/>
          <w:sz w:val="22"/>
        </w:rPr>
        <w:t>9.1 GitHub Repository</w:t>
      </w:r>
    </w:p>
    <w:p>
      <w:pPr>
        <w:spacing w:before="0" w:after="12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40" w:after="80"/>
        <w:jc w:val="left"/>
      </w:pPr>
      <w:r>
        <w:rPr>
          <w:rFonts w:ascii="Times New Roman" w:hAnsi="Times New Roman"/>
          <w:b/>
          <w:color w:val="000000"/>
          <w:sz w:val="22"/>
        </w:rPr>
        <w:t>9.2 Project Directory Architecture</w:t>
      </w:r>
    </w:p>
    <w:p>
      <w:pPr>
        <w:spacing w:before="0" w:after="12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ui/                         # Dual-theme Gradio UI components</w:t>
        <w:br/>
        <w:t>├── exports/                    # Generated .docx and LaTeX reports</w:t>
        <w:br/>
        <w:t>└── scripts/                    # Report generation &amp; build utilities</w:t>
      </w:r>
    </w:p>
    <w:p>
      <w:pPr>
        <w:keepNext/>
        <w:spacing w:before="240" w:after="8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expanded_queries = await query_expansion_agent.generate(query)</w:t>
        <w:br/>
        <w:t xml:space="preserve">    raw_papers = await fetch_papers_async(expanded_queries, top_k)</w:t>
        <w:br/>
        <w:t xml:space="preserve">    deduped = deduplicate_by_doi(raw_papers)</w:t>
        <w:br/>
        <w:t xml:space="preserve">    vector_index = build_faiss_index(deduped)</w:t>
        <w:br/>
        <w:t xml:space="preserve">    gaps = await gap_intelligence_agent.extract(vector_index)</w:t>
        <w:br/>
        <w:t xml:space="preserve">    matrix = await matrix_synthesis_agent.compile(vector_index, gaps)</w:t>
        <w:br/>
        <w:t xml:space="preserve">    return ReviewReport(papers=deduped, gaps=gaps, matrix=matrix)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