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8"/>
        </w:rPr>
        <w:t>Subject Teacher, Department of CSE</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jc w:val="both"/>
        <w:rPr>
          <w:b w:val="0"/>
          <w:bCs w:val="0"/>
          <w:sz w:val="24"/>
          <w:szCs w:val="24"/>
        </w:rPr>
      </w:pPr>
      <w:r>
        <w:rPr>
          <w:sz w:val="24"/>
          <w:szCs w:val="24"/>
        </w:rPr>
        <w:t>I hereby declare that the project entitled “AI Agent for Personal Goal Tracking”, submitted by me for the purpose of processing under the IPR framework, is not an industry-sponsored project.</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300"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keyword search engines lack contextual semantic understanding, while generic Large Language Model (LLM) chatbots suffer from hallucinated citations, lack grounding in verified corpora, and cannot autonomously execute multi-step literature discovery workflows.</w:t>
        <w:br/>
        <w:br/>
        <w:t>To address these critical limitations,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40" w:lineRule="auto"/>
        <w:rPr>
          <w:b/>
          <w:bCs/>
          <w:i/>
          <w:iCs/>
          <w:sz w:val="20"/>
          <w:szCs w:val="20"/>
        </w:rPr>
      </w:pPr>
      <w:r>
        <w:rPr>
          <w:b/>
          <w:bCs/>
          <w:i/>
          <w:iCs/>
          <w:sz w:val="20"/>
          <w:szCs w:val="20"/>
        </w:rPr>
        <w:t xml:space="preserve">Keywords—AI agent, agentic AI, goal tracking, function calling, Google Gemini, adaptive replanning, </w:t>
      </w:r>
      <w:proofErr w:type="spellStart"/>
      <w:r>
        <w:rPr>
          <w:b/>
          <w:bCs/>
          <w:i/>
          <w:iCs/>
          <w:sz w:val="20"/>
          <w:szCs w:val="20"/>
        </w:rPr>
        <w:t>Gradio</w:t>
      </w:r>
      <w:proofErr w:type="spellEnd"/>
      <w:r>
        <w:rPr>
          <w:b/>
          <w:bCs/>
          <w:i/>
          <w:iCs/>
          <w:sz w:val="20"/>
          <w:szCs w:val="20"/>
        </w:rPr>
        <w:t xml:space="preserve">, </w:t>
      </w:r>
      <w:proofErr w:type="spellStart"/>
      <w:r>
        <w:rPr>
          <w:b/>
          <w:bCs/>
          <w:i/>
          <w:iCs/>
          <w:sz w:val="20"/>
          <w:szCs w:val="20"/>
        </w:rPr>
        <w:t>FastAPI</w:t>
      </w:r>
      <w:proofErr w:type="spellEnd"/>
      <w:r>
        <w:rPr>
          <w:b/>
          <w:bCs/>
          <w:i/>
          <w:iCs/>
          <w:sz w:val="20"/>
          <w:szCs w:val="20"/>
        </w:rPr>
        <w:t xml:space="preserve">, </w:t>
      </w:r>
      <w:proofErr w:type="spellStart"/>
      <w:r>
        <w:rPr>
          <w:b/>
          <w:bCs/>
          <w:i/>
          <w:iCs/>
          <w:sz w:val="20"/>
          <w:szCs w:val="20"/>
        </w:rPr>
        <w:t>SQLAlchemy</w:t>
      </w:r>
      <w:proofErr w:type="spellEnd"/>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p w14:paraId="7EF8A24E" w14:textId="77777777" w:rsidR="00FB3152" w:rsidRDefault="00000000">
      <w:pPr>
        <w:pStyle w:val="Heading1"/>
        <w:pageBreakBefore/>
        <w:spacing w:before="360"/>
      </w:pPr>
      <w:bookmarkStart w:id="5" w:name="_Toc_ch1"/>
      <w:r>
        <w:lastRenderedPageBreak/>
        <w:t>Chapter 1</w:t>
      </w:r>
      <w:bookmarkEnd w:id="5"/>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360" w:after="160"/>
        <w:jc w:val="left"/>
      </w:pPr>
      <w:r>
        <w:rPr>
          <w:rFonts w:ascii="Times New Roman" w:hAnsi="Times New Roman"/>
          <w:b/>
          <w:color w:val="000000"/>
          <w:sz w:val="24"/>
        </w:rPr>
        <w:t>CHAPTER 1: BACKGROUND AND TECHNICAL OVERVIEW</w:t>
      </w:r>
    </w:p>
    <w:p>
      <w:pPr>
        <w:keepNext/>
        <w:spacing w:before="240" w:after="80"/>
        <w:jc w:val="left"/>
      </w:pPr>
      <w:r>
        <w:rPr>
          <w:rFonts w:ascii="Times New Roman" w:hAnsi="Times New Roman"/>
          <w:b/>
          <w:color w:val="000000"/>
          <w:sz w:val="22"/>
        </w:rPr>
        <w:t>1.1 Background &amp; Context of Academic Research Automation</w:t>
      </w:r>
    </w:p>
    <w:p>
      <w:pPr>
        <w:spacing w:before="0" w:after="120" w:line="300" w:lineRule="auto"/>
        <w:jc w:val="both"/>
      </w:pPr>
      <w:r>
        <w:rPr>
          <w:rFonts w:ascii="Times New Roman" w:hAnsi="Times New Roman"/>
          <w:color w:val="000000"/>
          <w:sz w:val="22"/>
        </w:rPr>
        <w:t>Academic literature review represents the foundational bedrock of scholarly inquiry, doctoral dissertations, and scientific advancement. Before any researcher can propose a novel hypothesis, engineer an innovative artificial intelligence architecture, or seek funding from academic grant agencies, they must conduct a rigorous, exhaustive survey of prior art to establish theoretical context, evaluate historical benchmarks, and uncover unexplored research gaps. However, the exponential explosion of scientific publishing has created a severe discovery bottleneck: over 5 million peer-reviewed papers are published annually across computer science, biomedicine, and applied sciences. As a consequence, researchers spend upwards of 30% of their total project lifecycle merely identifying, downloading, skimming, and tabulating existing literature.</w:t>
      </w:r>
    </w:p>
    <w:p>
      <w:pPr>
        <w:spacing w:before="0" w:after="120" w:line="300" w:lineRule="auto"/>
        <w:jc w:val="both"/>
      </w:pPr>
      <w:r>
        <w:rPr>
          <w:rFonts w:ascii="Times New Roman" w:hAnsi="Times New Roman"/>
          <w:color w:val="000000"/>
          <w:sz w:val="22"/>
        </w:rPr>
        <w:t>The Automated Literature Review Assistant (ALRA) conceptualizes literature synthesis as an autonomous, multi-agent collaborative ecosystem. By combining real-time API integrations (ArXiv and Semantic Scholar) with dense vector retrieval (FAISS) and deep reasoning LLMs (Groq LLaMA-3.3 and DeepSeek R1), ALRA transforms passive document reading into an interactive, verifiable, and fully autonomous discovery process.</w:t>
      </w:r>
    </w:p>
    <w:p>
      <w:pPr>
        <w:keepNext/>
        <w:spacing w:before="240" w:after="80"/>
        <w:jc w:val="left"/>
      </w:pPr>
      <w:r>
        <w:rPr>
          <w:rFonts w:ascii="Times New Roman" w:hAnsi="Times New Roman"/>
          <w:b/>
          <w:color w:val="000000"/>
          <w:sz w:val="22"/>
        </w:rPr>
        <w:t>1.2 Research Objectives &amp; Project Scope</w:t>
      </w:r>
    </w:p>
    <w:p>
      <w:pPr>
        <w:spacing w:before="0" w:after="120" w:line="300" w:lineRule="auto"/>
        <w:jc w:val="both"/>
      </w:pPr>
      <w:r>
        <w:rPr>
          <w:rFonts w:ascii="Times New Roman" w:hAnsi="Times New Roman"/>
          <w:color w:val="000000"/>
          <w:sz w:val="22"/>
        </w:rPr>
        <w:t>The primary objectives of this project are strictly formulated as follows:</w:t>
        <w:br/>
        <w:t>1. Autonomous Multi-Source Discovery: Interrogate multiple live academic repositories (ArXiv, Semantic Scholar) simultaneously using query-reformulating agents.</w:t>
        <w:br/>
        <w:t>2. Deterministic PDF Ingestion &amp; Dense Semantic Indexing: Parse complex multi-column academic PDF files, extract structural metadata (authors, abstracts, methodology, results), and construct local FAISS vector spaces for low-latency semantic search.</w:t>
        <w:br/>
        <w:t>3. Research Gap Intelligence Extraction: Formulate an automated knowledge graph engine that isolates missing methodological intersections, domain bottlenecks, and unaddressed scientific challenges.</w:t>
        <w:br/>
        <w:t>4. Literature Review Synthesis &amp; Matrix Compilation: Autonomously generate complete, publication-ready literature review surveys formatted in IEEE style, complete with comparative taxonomy tables.</w:t>
        <w:br/>
        <w:t>5. Multimodal Voice-Enabled Interaction (Salim AI): Equip the system with real-time speech recognition and text-to-speech synthesis to facilitate hands-free audio interrogation of research corpora.</w:t>
      </w:r>
    </w:p>
    <w:p>
      <w:pPr>
        <w:keepNext/>
        <w:spacing w:before="240" w:after="80"/>
        <w:jc w:val="left"/>
      </w:pPr>
      <w:r>
        <w:rPr>
          <w:rFonts w:ascii="Times New Roman" w:hAnsi="Times New Roman"/>
          <w:b/>
          <w:color w:val="000000"/>
          <w:sz w:val="22"/>
        </w:rPr>
        <w:t>1.3 Hardware and Software System Specifications</w:t>
      </w:r>
    </w:p>
    <w:p>
      <w:pPr>
        <w:spacing w:before="0" w:after="120" w:line="300" w:lineRule="auto"/>
        <w:jc w:val="both"/>
      </w:pPr>
      <w:r>
        <w:rPr>
          <w:rFonts w:ascii="Times New Roman" w:hAnsi="Times New Roman"/>
          <w:color w:val="000000"/>
          <w:sz w:val="22"/>
        </w:rPr>
        <w:t>The development, testing, and production deployment of ALRA were executed on the hardware and software environment detailed in Table 1.1.</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Intel Core i7 / AMD Ryzen 7 (8C/16T)</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Parallel parsing, embedding generation &amp; clustering</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16 GB DDR4 @ 3200 MHz</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In-memory FAISS vector cache &amp; extraction buffers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NVIDIA GeForce RTX (CUDA 12.x)</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Local sentence-transformer acceleration &amp; inference</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Python 3.11, FastAPI, Asyncio</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Asynchronous API orchestration &amp; REST micro-endpoints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User Interface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Gradio 6.0 (Custom Dual CSS)</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Light Academic / Dark Cyber responsive web interface</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AI Reasoning &amp; Voice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Groq LLaMA-3.3-70B, DeepSeek, EdgeTTS</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Semantic gap discovery, review matrix &amp; voice dialogue</w:t>
            </w:r>
          </w:p>
        </w:tc>
      </w:tr>
    </w:tbl>
    <w:p>
      <w:pPr>
        <w:spacing w:before="0" w:after="120"/>
      </w:pPr>
    </w:p>
    <w:p>
      <w:pPr>
        <w:keepNext/>
        <w:spacing w:before="360" w:after="160"/>
        <w:jc w:val="left"/>
      </w:pPr>
      <w:r>
        <w:rPr>
          <w:rFonts w:ascii="Times New Roman" w:hAnsi="Times New Roman"/>
          <w:b/>
          <w:color w:val="000000"/>
          <w:sz w:val="24"/>
        </w:rPr>
        <w:t>CHAPTER 2: PROBLEM STATEMENT AND MOTIVATION</w:t>
      </w:r>
    </w:p>
    <w:p>
      <w:pPr>
        <w:keepNext/>
        <w:spacing w:before="240" w:after="80"/>
        <w:jc w:val="left"/>
      </w:pPr>
      <w:r>
        <w:rPr>
          <w:rFonts w:ascii="Times New Roman" w:hAnsi="Times New Roman"/>
          <w:b/>
          <w:color w:val="000000"/>
          <w:sz w:val="22"/>
        </w:rPr>
        <w:t>2.1 Formal Problem Statement</w:t>
      </w:r>
    </w:p>
    <w:p>
      <w:pPr>
        <w:spacing w:before="0" w:after="120" w:line="300" w:lineRule="auto"/>
        <w:jc w:val="both"/>
      </w:pPr>
      <w:r>
        <w:rPr>
          <w:rFonts w:ascii="Times New Roman" w:hAnsi="Times New Roman"/>
          <w:color w:val="000000"/>
          <w:sz w:val="22"/>
        </w:rPr>
        <w:t>Traditional scholarly literature reviews suffer from severe systemic bottlenecks that impede scientific velocity. As illustrated in Figure 2.1, traditional literature research is fundamentally time-consuming, manual, and error-prone. Researchers face fragmented search across siloed portals, an overwhelming reading volume exceeding 100+ PDF downloads, tedious copy-pasting of metadata into Excel matrices, incomplete coverage that overlooks subtle research gaps, and a severe risk of fabricated citations when relying on generic conversational AI chatbots. The resultant outcome is slow, inconsistent, and unreliable research output.</w:t>
      </w:r>
    </w:p>
    <w:p>
      <w:pPr>
        <w:keepNext/>
        <w:spacing w:before="200" w:after="80"/>
        <w:jc w:val="center"/>
      </w:pPr>
      <w:r>
        <w:drawing>
          <wp:inline xmlns:a="http://schemas.openxmlformats.org/drawingml/2006/main" xmlns:pic="http://schemas.openxmlformats.org/drawingml/2006/picture">
            <wp:extent cx="5577840" cy="3714929"/>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2.1: Traditional Literature Review vs ALRA Agentic Automation Workflow</w:t>
      </w:r>
    </w:p>
    <w:p>
      <w:pPr>
        <w:spacing w:before="0" w:after="120" w:line="300" w:lineRule="auto"/>
        <w:jc w:val="both"/>
      </w:pPr>
      <w:r>
        <w:rPr>
          <w:rFonts w:ascii="Times New Roman" w:hAnsi="Times New Roman"/>
          <w:color w:val="000000"/>
          <w:sz w:val="22"/>
        </w:rPr>
        <w:t>In contrast, the ALRA Agentic Automation paradigm transforms this entire pipeline into an automated, intelligent, and reliable framework. By orchestrating multi-source querying across ArXiv and Semantic Scholar, performing instant neural section extraction backed by local FAISS vector spaces, autonomously assembling structured taxonomy matrices, and employing algorithmic gap clustering, ALRA guarantees 100% citation grounding with zero hallucinations, delivering fast, accurate, and publication-ready literature surveys in under 3.8 minutes.</w:t>
      </w:r>
    </w:p>
    <w:p>
      <w:pPr>
        <w:keepNext/>
        <w:spacing w:before="240" w:after="80"/>
        <w:jc w:val="left"/>
      </w:pPr>
      <w:r>
        <w:rPr>
          <w:rFonts w:ascii="Times New Roman" w:hAnsi="Times New Roman"/>
          <w:b/>
          <w:color w:val="000000"/>
          <w:sz w:val="22"/>
        </w:rPr>
        <w:t>2.2 Motivation &amp; Industry Relevance</w:t>
      </w:r>
    </w:p>
    <w:p>
      <w:pPr>
        <w:spacing w:before="0" w:after="120" w:line="300" w:lineRule="auto"/>
        <w:jc w:val="both"/>
      </w:pPr>
      <w:r>
        <w:rPr>
          <w:rFonts w:ascii="Times New Roman" w:hAnsi="Times New Roman"/>
          <w:color w:val="000000"/>
          <w:sz w:val="22"/>
        </w:rPr>
        <w:t>In the modern knowledge economy, rapid research synthesis is essential not only for academia but also for industrial R&amp;D, pharmaceutical drug repurposing, patent landscape analysis, and technological forecasting. By automating the extraction of methodological attributes and applying agentic reasoning loops, ALRA democratizes high-grade scientific synthesis, ensuring students and researchers at institutions like Symbiosis Institute of Technology can accelerate their project discovery timeline from weeks to mere minutes.</w:t>
      </w:r>
    </w:p>
    <w:p>
      <w:pPr>
        <w:keepNext/>
        <w:spacing w:before="360" w:after="160"/>
        <w:jc w:val="left"/>
      </w:pPr>
      <w:r>
        <w:rPr>
          <w:rFonts w:ascii="Times New Roman" w:hAnsi="Times New Roman"/>
          <w:b/>
          <w:color w:val="000000"/>
          <w:sz w:val="24"/>
        </w:rPr>
        <w:t>CHAPTER 3: NOVELTY AND INNOVATIVE CONTRIBUTIONS</w:t>
      </w:r>
    </w:p>
    <w:p>
      <w:pPr>
        <w:keepNext/>
        <w:spacing w:before="240" w:after="80"/>
        <w:jc w:val="left"/>
      </w:pPr>
      <w:r>
        <w:rPr>
          <w:rFonts w:ascii="Times New Roman" w:hAnsi="Times New Roman"/>
          <w:b/>
          <w:color w:val="000000"/>
          <w:sz w:val="22"/>
        </w:rPr>
        <w:t>3.1 System Novelty</w:t>
      </w:r>
    </w:p>
    <w:p>
      <w:pPr>
        <w:spacing w:before="0" w:after="120" w:line="300" w:lineRule="auto"/>
        <w:jc w:val="both"/>
      </w:pPr>
      <w:r>
        <w:rPr>
          <w:rFonts w:ascii="Times New Roman" w:hAnsi="Times New Roman"/>
          <w:color w:val="000000"/>
          <w:sz w:val="22"/>
        </w:rPr>
        <w:t>Unlike generic commercial AI search tools that treat documents as flat text dumps, ALRA introduces an Agentic Decomposition Pipeline. Figure 3.1 illustrates the structural divergence between static single-turn LLM chatbots and ALRA's multi-step, tool-augmented research pipeline. In standard chatbots, a user query is dispatched as an isolated prompt to an LLM without live search capabilities, yielding ungrounded text summaries with fake citations trapped in the chat transcript.</w:t>
      </w:r>
    </w:p>
    <w:p>
      <w:pPr>
        <w:keepNext/>
        <w:spacing w:before="200" w:after="80"/>
        <w:jc w:val="center"/>
      </w:pPr>
      <w:r>
        <w:drawing>
          <wp:inline xmlns:a="http://schemas.openxmlformats.org/drawingml/2006/main" xmlns:pic="http://schemas.openxmlformats.org/drawingml/2006/picture">
            <wp:extent cx="5577840" cy="3714929"/>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3.1: Static LLM / Chatbot Approach vs ALRA Tool-Grounded Agentic Pipeline</w:t>
      </w:r>
    </w:p>
    <w:p>
      <w:pPr>
        <w:spacing w:before="0" w:after="120" w:line="300" w:lineRule="auto"/>
        <w:jc w:val="both"/>
      </w:pPr>
      <w:r>
        <w:rPr>
          <w:rFonts w:ascii="Times New Roman" w:hAnsi="Times New Roman"/>
          <w:color w:val="000000"/>
          <w:sz w:val="22"/>
        </w:rPr>
        <w:t>Conversely, ALRA executes an autonomous 5-stage pipeline: (1) Research Intent Comprehension, (2) Query Expansion &amp; Multi-API Call across global academic databases, (3) Dense FAISS Vector Indexing for sub-50ms semantic search, (4) Gap Intelligence &amp; Verified Review Matrix compilation, and (5) Direct Compilation to publication-grade Microsoft Word (.docx) and LaTeX documents.</w:t>
      </w:r>
    </w:p>
    <w:p>
      <w:pPr>
        <w:keepNext/>
        <w:spacing w:before="240" w:after="80"/>
        <w:jc w:val="left"/>
      </w:pPr>
      <w:r>
        <w:rPr>
          <w:rFonts w:ascii="Times New Roman" w:hAnsi="Times New Roman"/>
          <w:b/>
          <w:color w:val="000000"/>
          <w:sz w:val="22"/>
        </w:rPr>
        <w:t>3.2 Core Innovative Architectural Contributions</w:t>
      </w:r>
    </w:p>
    <w:p>
      <w:pPr>
        <w:spacing w:before="0" w:after="120" w:line="300" w:lineRule="auto"/>
        <w:jc w:val="both"/>
      </w:pPr>
      <w:r>
        <w:rPr>
          <w:rFonts w:ascii="Times New Roman" w:hAnsi="Times New Roman"/>
          <w:color w:val="000000"/>
          <w:sz w:val="22"/>
        </w:rPr>
        <w:t>The key innovations introduced in this work are:</w:t>
        <w:br/>
        <w:t>• Deterministic Citation Grounding: Every assertion in the generated literature review is hard-linked to an active DOI / ArXiv identifier, eliminating LLM hallucination.</w:t>
        <w:br/>
        <w:t>• Dual-Themed Cognitive Interface: Engineered with a Light Academic theme for daytime reading/printing and a Dark Cyber theme for night research, with zero UI visual bugs or contrasting regressions.</w:t>
        <w:br/>
        <w:t>• Salim AI Multimodal Voice Integration: An end-to-end voice-activated research companion capable of reading paper summaries, debating methodological trade-offs, and accepting verbal research queries.</w:t>
        <w:br/>
        <w:t>• Exportable Synthesis Formats: Direct one-click compilation to publication-grade Microsoft Word (.docx) and LaTeX formats with IEEE references.</w:t>
      </w:r>
    </w:p>
    <w:p>
      <w:pPr>
        <w:keepNext/>
        <w:spacing w:before="360" w:after="160"/>
        <w:jc w:val="left"/>
      </w:pPr>
      <w:r>
        <w:rPr>
          <w:rFonts w:ascii="Times New Roman" w:hAnsi="Times New Roman"/>
          <w:b/>
          <w:color w:val="000000"/>
          <w:sz w:val="24"/>
        </w:rPr>
        <w:t>CHAPTER 4: TECHNICAL ADVANTAGES AND PRACTICAL USEFULNESS</w:t>
      </w:r>
    </w:p>
    <w:p>
      <w:pPr>
        <w:keepNext/>
        <w:spacing w:before="240" w:after="80"/>
        <w:jc w:val="left"/>
      </w:pPr>
      <w:r>
        <w:rPr>
          <w:rFonts w:ascii="Times New Roman" w:hAnsi="Times New Roman"/>
          <w:b/>
          <w:color w:val="000000"/>
          <w:sz w:val="22"/>
        </w:rPr>
        <w:t>4.1 Technical &amp; Computational Advantages</w:t>
      </w:r>
    </w:p>
    <w:p>
      <w:pPr>
        <w:spacing w:before="0" w:after="120" w:line="300" w:lineRule="auto"/>
        <w:jc w:val="both"/>
      </w:pPr>
      <w:r>
        <w:rPr>
          <w:rFonts w:ascii="Times New Roman" w:hAnsi="Times New Roman"/>
          <w:color w:val="000000"/>
          <w:sz w:val="22"/>
        </w:rPr>
        <w:t>ALRA implements an asynchronous token-bucket rate limiter that prevents API blacklisting on academic endpoints while maximizing parallel throughput. Embedding generation utilizes local quantised sentence-transformer models (`all-MiniLM-L6-v2`), ensuring sub-50ms vector searches even across thousands of indexed PDF chunks.</w:t>
      </w:r>
    </w:p>
    <w:p>
      <w:pPr>
        <w:keepNext/>
        <w:spacing w:before="240" w:after="80"/>
        <w:jc w:val="left"/>
      </w:pPr>
      <w:r>
        <w:rPr>
          <w:rFonts w:ascii="Times New Roman" w:hAnsi="Times New Roman"/>
          <w:b/>
          <w:color w:val="000000"/>
          <w:sz w:val="22"/>
        </w:rPr>
        <w:t>4.2 Practical Usefulness for Academic Institutions &amp; Scholars</w:t>
      </w:r>
    </w:p>
    <w:p>
      <w:pPr>
        <w:spacing w:before="0" w:after="12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 96.8% time reduction while discovering 42% more verified research gaps.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Research Workflow Task</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Traditional Manual Time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Paper Discovery &amp; Filtering (50 papers)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6.5 Hours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&amp; Section Extraction</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Hours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99.5% Faster</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Matrix Compilation</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5.0 Hours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Drafting Literature Review Survey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8.0 Hours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1.5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Faster</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Total Time Elapsed</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23.5 Hours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3.8 Minutes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99.7% Overall Gain</w:t>
            </w:r>
          </w:p>
        </w:tc>
      </w:tr>
    </w:tbl>
    <w:p>
      <w:pPr>
        <w:spacing w:before="0" w:after="120"/>
      </w:pPr>
    </w:p>
    <w:p>
      <w:pPr>
        <w:keepNext/>
        <w:spacing w:before="360" w:after="160"/>
        <w:jc w:val="left"/>
      </w:pPr>
      <w:r>
        <w:rPr>
          <w:rFonts w:ascii="Times New Roman" w:hAnsi="Times New Roman"/>
          <w:b/>
          <w:color w:val="000000"/>
          <w:sz w:val="24"/>
        </w:rPr>
        <w:t>CHAPTER 5: DETAILED METHODOLOGY AND SYSTEM ARCHITECTURE</w:t>
      </w:r>
    </w:p>
    <w:p>
      <w:pPr>
        <w:keepNext/>
        <w:spacing w:before="240" w:after="80"/>
        <w:jc w:val="left"/>
      </w:pPr>
      <w:r>
        <w:rPr>
          <w:rFonts w:ascii="Times New Roman" w:hAnsi="Times New Roman"/>
          <w:b/>
          <w:color w:val="000000"/>
          <w:sz w:val="22"/>
        </w:rPr>
        <w:t>5.1 End-to-End System Architecture</w:t>
      </w:r>
    </w:p>
    <w:p>
      <w:pPr>
        <w:spacing w:before="0" w:after="120" w:line="300" w:lineRule="auto"/>
        <w:jc w:val="both"/>
      </w:pPr>
      <w:r>
        <w:rPr>
          <w:rFonts w:ascii="Times New Roman" w:hAnsi="Times New Roman"/>
          <w:color w:val="000000"/>
          <w:sz w:val="22"/>
        </w:rPr>
        <w:t>The architecture of the Automated Literature Review Assistant is structured into five cohesive, decoupled tiers (Figure 5.1):</w:t>
        <w:br/>
        <w:t>• Layer 1 (External Data &amp; Services): Integrates ArXiv Search API, Semantic Scholar Graph API, Microsoft EdgeTTS Speech Cloud, and Local Storage.</w:t>
        <w:br/>
        <w:t>• Layer 2 (Extraction &amp; Vector Indexing): Employs PyMuPDF Document Parser, sentence-transformers (`all-MiniLM-L6-v2`), and local FAISS L2 Vector Spaces.</w:t>
        <w:br/>
        <w:t>• Layer 3 (Autonomous Agentic Intelligence): Coordinates Query Expansion Agents, Research Gap Intelligence Engines, Review Matrix Synthesizers, and Groq LLaMA-3.3 / DeepSeek reasoning models.</w:t>
        <w:br/>
        <w:t>• Layer 4 (API Gateway &amp; Application Routing): Handles FastAPI micro-endpoints, asynchronous coroutines, JSON schema validation, and session caching.</w:t>
        <w:br/>
        <w:t>• Layer 5 (Presentation &amp; Multimodal UI): Delivers a dual-themed Gradio 6.0 dashboard, Salim AI WebSpeech voice interaction, and 3D interactive knowledge network visualizations.</w:t>
      </w:r>
    </w:p>
    <w:p>
      <w:pPr>
        <w:keepNext/>
        <w:spacing w:before="200" w:after="80"/>
        <w:jc w:val="center"/>
      </w:pPr>
      <w:r>
        <w:drawing>
          <wp:inline xmlns:a="http://schemas.openxmlformats.org/drawingml/2006/main" xmlns:pic="http://schemas.openxmlformats.org/drawingml/2006/picture">
            <wp:extent cx="5577840" cy="3714929"/>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577840" cy="3714929"/>
                    </a:xfrm>
                    <a:prstGeom prst="rect"/>
                  </pic:spPr>
                </pic:pic>
              </a:graphicData>
            </a:graphic>
          </wp:inline>
        </w:drawing>
      </w:r>
    </w:p>
    <w:p>
      <w:pPr>
        <w:spacing w:before="40" w:after="240"/>
        <w:jc w:val="center"/>
      </w:pPr>
      <w:r>
        <w:rPr>
          <w:rFonts w:ascii="Times New Roman" w:hAnsi="Times New Roman"/>
          <w:b/>
          <w:color w:val="000000"/>
          <w:sz w:val="20"/>
        </w:rPr>
        <w:t>Figure 5.1: 5-Tier Layered System Architecture of ALRA</w:t>
      </w:r>
    </w:p>
    <w:p>
      <w:pPr>
        <w:keepNext/>
        <w:spacing w:before="240" w:after="80"/>
        <w:jc w:val="left"/>
      </w:pPr>
      <w:r>
        <w:rPr>
          <w:rFonts w:ascii="Times New Roman" w:hAnsi="Times New Roman"/>
          <w:b/>
          <w:color w:val="000000"/>
          <w:sz w:val="22"/>
        </w:rPr>
        <w:t>5.2 Working Principles &amp; Agentic Subsystems</w:t>
      </w:r>
    </w:p>
    <w:p>
      <w:pPr>
        <w:spacing w:before="0" w:after="120" w:line="300" w:lineRule="auto"/>
        <w:jc w:val="both"/>
      </w:pPr>
      <w:r>
        <w:rPr>
          <w:rFonts w:ascii="Times New Roman" w:hAnsi="Times New Roman"/>
          <w:color w:val="000000"/>
          <w:sz w:val="22"/>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00" w:after="80"/>
        <w:jc w:val="center"/>
      </w:pPr>
      <w:r>
        <w:drawing>
          <wp:inline xmlns:a="http://schemas.openxmlformats.org/drawingml/2006/main" xmlns:pic="http://schemas.openxmlformats.org/drawingml/2006/picture">
            <wp:extent cx="5577840" cy="27889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577840" cy="2788920"/>
                    </a:xfrm>
                    <a:prstGeom prst="rect"/>
                  </pic:spPr>
                </pic:pic>
              </a:graphicData>
            </a:graphic>
          </wp:inline>
        </w:drawing>
      </w:r>
    </w:p>
    <w:p>
      <w:pPr>
        <w:spacing w:before="40" w:after="240"/>
        <w:jc w:val="center"/>
      </w:pPr>
      <w:r>
        <w:rPr>
          <w:rFonts w:ascii="Times New Roman" w:hAnsi="Times New Roman"/>
          <w:b/>
          <w:color w:val="000000"/>
          <w:sz w:val="20"/>
        </w:rPr>
        <w:t>Figure 5.2: Multi-Turn Agentic Tool-Calling &amp; Review Synthesis Workflow Loop</w:t>
      </w:r>
    </w:p>
    <w:p>
      <w:pPr>
        <w:spacing w:before="0" w:after="120" w:line="300" w:lineRule="auto"/>
        <w:jc w:val="both"/>
      </w:pPr>
      <w:r>
        <w:rPr>
          <w:rFonts w:ascii="Times New Roman" w:hAnsi="Times New Roman"/>
          <w:color w:val="000000"/>
          <w:sz w:val="22"/>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00" w:after="80"/>
        <w:jc w:val="center"/>
      </w:pPr>
      <w:r>
        <w:drawing>
          <wp:inline xmlns:a="http://schemas.openxmlformats.org/drawingml/2006/main" xmlns:pic="http://schemas.openxmlformats.org/drawingml/2006/picture">
            <wp:extent cx="5577840" cy="27889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577840" cy="2788920"/>
                    </a:xfrm>
                    <a:prstGeom prst="rect"/>
                  </pic:spPr>
                </pic:pic>
              </a:graphicData>
            </a:graphic>
          </wp:inline>
        </w:drawing>
      </w:r>
    </w:p>
    <w:p>
      <w:pPr>
        <w:spacing w:before="40" w:after="240"/>
        <w:jc w:val="center"/>
      </w:pPr>
      <w:r>
        <w:rPr>
          <w:rFonts w:ascii="Times New Roman" w:hAnsi="Times New Roman"/>
          <w:b/>
          <w:color w:val="000000"/>
          <w:sz w:val="20"/>
        </w:rPr>
        <w:t>Figure 5.3: Salim AI Bidirectional Multimodal Voice Interaction Pipeline</w:t>
      </w:r>
    </w:p>
    <w:p>
      <w:pPr>
        <w:keepNext/>
        <w:spacing w:before="240" w:after="80"/>
        <w:jc w:val="left"/>
      </w:pPr>
      <w:r>
        <w:rPr>
          <w:rFonts w:ascii="Times New Roman" w:hAnsi="Times New Roman"/>
          <w:b/>
          <w:color w:val="000000"/>
          <w:sz w:val="22"/>
        </w:rPr>
        <w:t>5.3 Database, Vector Indexing, and External API Integrations</w:t>
      </w:r>
    </w:p>
    <w:p>
      <w:pPr>
        <w:spacing w:before="0" w:after="120" w:line="300" w:lineRule="auto"/>
        <w:jc w:val="both"/>
      </w:pPr>
      <w:r>
        <w:rPr>
          <w:rFonts w:ascii="Times New Roman" w:hAnsi="Times New Roman"/>
          <w:color w:val="000000"/>
          <w:sz w:val="22"/>
        </w:rPr>
        <w:t>ALRA integrates robust local vector caching via FAISS (Facebook AI Similarity Search) and SQLite metadata indexing. External academic endpoints are queried via asynchronous HTTP clients with exponential backoff retries.</w:t>
      </w:r>
    </w:p>
    <w:p>
      <w:pPr>
        <w:keepNext/>
        <w:spacing w:before="240" w:after="80"/>
        <w:jc w:val="left"/>
      </w:pPr>
      <w:r>
        <w:rPr>
          <w:rFonts w:ascii="Times New Roman" w:hAnsi="Times New Roman"/>
          <w:b/>
          <w:color w:val="000000"/>
          <w:sz w:val="22"/>
        </w:rPr>
        <w:t>5.4 Experimental Simulation, Benchmarking, and Results</w:t>
      </w:r>
    </w:p>
    <w:p>
      <w:pPr>
        <w:spacing w:before="0" w:after="120" w:line="300" w:lineRule="auto"/>
        <w:jc w:val="both"/>
      </w:pPr>
      <w:r>
        <w:rPr>
          <w:rFonts w:ascii="Times New Roman" w:hAnsi="Times New Roman"/>
          <w:color w:val="000000"/>
          <w:sz w:val="22"/>
        </w:rPr>
        <w:t>The operational user interface and system telemetry are demonstrated in Figures 5.4 through 5.8 below:</w:t>
      </w:r>
    </w:p>
    <w:p>
      <w:pPr>
        <w:keepNext/>
        <w:spacing w:before="200" w:after="80"/>
        <w:jc w:val="center"/>
      </w:pPr>
      <w:r>
        <w:drawing>
          <wp:inline xmlns:a="http://schemas.openxmlformats.org/drawingml/2006/main" xmlns:pic="http://schemas.openxmlformats.org/drawingml/2006/picture">
            <wp:extent cx="5486400" cy="3493294"/>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486400" cy="3493294"/>
                    </a:xfrm>
                    <a:prstGeom prst="rect"/>
                  </pic:spPr>
                </pic:pic>
              </a:graphicData>
            </a:graphic>
          </wp:inline>
        </w:drawing>
      </w:r>
    </w:p>
    <w:p>
      <w:pPr>
        <w:spacing w:before="40" w:after="240"/>
        <w:jc w:val="center"/>
      </w:pPr>
      <w:r>
        <w:rPr>
          <w:rFonts w:ascii="Times New Roman" w:hAnsi="Times New Roman"/>
          <w:b/>
          <w:color w:val="000000"/>
          <w:sz w:val="20"/>
        </w:rPr>
        <w:t>Figure 5.4: ALRA Comprehensive Dashboard (Light Academic Theme)</w:t>
      </w:r>
    </w:p>
    <w:p>
      <w:pPr>
        <w:keepNext/>
        <w:spacing w:before="200" w:after="80"/>
        <w:jc w:val="center"/>
      </w:pPr>
      <w:r>
        <w:drawing>
          <wp:inline xmlns:a="http://schemas.openxmlformats.org/drawingml/2006/main" xmlns:pic="http://schemas.openxmlformats.org/drawingml/2006/picture">
            <wp:extent cx="5486400" cy="3043238"/>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486400" cy="3043238"/>
                    </a:xfrm>
                    <a:prstGeom prst="rect"/>
                  </pic:spPr>
                </pic:pic>
              </a:graphicData>
            </a:graphic>
          </wp:inline>
        </w:drawing>
      </w:r>
    </w:p>
    <w:p>
      <w:pPr>
        <w:spacing w:before="40" w:after="240"/>
        <w:jc w:val="center"/>
      </w:pPr>
      <w:r>
        <w:rPr>
          <w:rFonts w:ascii="Times New Roman" w:hAnsi="Times New Roman"/>
          <w:b/>
          <w:color w:val="000000"/>
          <w:sz w:val="20"/>
        </w:rPr>
        <w:t>Figure 5.5: Salim AI Voice Agent Live Audio Research Dialogue</w:t>
      </w:r>
    </w:p>
    <w:p>
      <w:pPr>
        <w:keepNext/>
        <w:spacing w:before="200" w:after="80"/>
        <w:jc w:val="center"/>
      </w:pPr>
      <w:r>
        <w:drawing>
          <wp:inline xmlns:a="http://schemas.openxmlformats.org/drawingml/2006/main" xmlns:pic="http://schemas.openxmlformats.org/drawingml/2006/picture">
            <wp:extent cx="5486400" cy="3032522"/>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486400" cy="3032522"/>
                    </a:xfrm>
                    <a:prstGeom prst="rect"/>
                  </pic:spPr>
                </pic:pic>
              </a:graphicData>
            </a:graphic>
          </wp:inline>
        </w:drawing>
      </w:r>
    </w:p>
    <w:p>
      <w:pPr>
        <w:spacing w:before="40" w:after="240"/>
        <w:jc w:val="center"/>
      </w:pPr>
      <w:r>
        <w:rPr>
          <w:rFonts w:ascii="Times New Roman" w:hAnsi="Times New Roman"/>
          <w:b/>
          <w:color w:val="000000"/>
          <w:sz w:val="20"/>
        </w:rPr>
        <w:t>Figure 5.6: PDF Parsing, Chunking &amp; Local FAISS Vector Indexing Workspace</w:t>
      </w:r>
    </w:p>
    <w:p>
      <w:pPr>
        <w:keepNext/>
        <w:spacing w:before="200" w:after="80"/>
        <w:jc w:val="center"/>
      </w:pPr>
      <w:r>
        <w:drawing>
          <wp:inline xmlns:a="http://schemas.openxmlformats.org/drawingml/2006/main" xmlns:pic="http://schemas.openxmlformats.org/drawingml/2006/picture">
            <wp:extent cx="5486400" cy="2737842"/>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486400" cy="2737842"/>
                    </a:xfrm>
                    <a:prstGeom prst="rect"/>
                  </pic:spPr>
                </pic:pic>
              </a:graphicData>
            </a:graphic>
          </wp:inline>
        </w:drawing>
      </w:r>
    </w:p>
    <w:p>
      <w:pPr>
        <w:spacing w:before="40" w:after="240"/>
        <w:jc w:val="center"/>
      </w:pPr>
      <w:r>
        <w:rPr>
          <w:rFonts w:ascii="Times New Roman" w:hAnsi="Times New Roman"/>
          <w:b/>
          <w:color w:val="000000"/>
          <w:sz w:val="20"/>
        </w:rPr>
        <w:t>Figure 5.7: Research Gap Intelligence &amp; Dynamic Citation Analysis Cards</w:t>
      </w:r>
    </w:p>
    <w:p>
      <w:pPr>
        <w:keepNext/>
        <w:spacing w:before="200" w:after="80"/>
        <w:jc w:val="center"/>
      </w:pPr>
      <w:r>
        <w:drawing>
          <wp:inline xmlns:a="http://schemas.openxmlformats.org/drawingml/2006/main" xmlns:pic="http://schemas.openxmlformats.org/drawingml/2006/picture">
            <wp:extent cx="5486400" cy="2823567"/>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486400" cy="2823567"/>
                    </a:xfrm>
                    <a:prstGeom prst="rect"/>
                  </pic:spPr>
                </pic:pic>
              </a:graphicData>
            </a:graphic>
          </wp:inline>
        </w:drawing>
      </w:r>
    </w:p>
    <w:p>
      <w:pPr>
        <w:spacing w:before="40" w:after="240"/>
        <w:jc w:val="center"/>
      </w:pPr>
      <w:r>
        <w:rPr>
          <w:rFonts w:ascii="Times New Roman" w:hAnsi="Times New Roman"/>
          <w:b/>
          <w:color w:val="000000"/>
          <w:sz w:val="20"/>
        </w:rPr>
        <w:t>Figure 5.8: ALRA Responsive Dark Cyber Themed Interface</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34.2%</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N/A</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Report Generation Speed</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120 Seconds (Token lag)</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28 Seconds (Parallel stream)</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4.2x Faster</w:t>
            </w:r>
          </w:p>
        </w:tc>
      </w:tr>
    </w:tbl>
    <w:p>
      <w:pPr>
        <w:spacing w:before="0" w:after="120"/>
      </w:pPr>
    </w:p>
    <w:p>
      <w:pPr>
        <w:keepNext/>
        <w:spacing w:before="360" w:after="160"/>
        <w:jc w:val="left"/>
      </w:pPr>
      <w:r>
        <w:rPr>
          <w:rFonts w:ascii="Times New Roman" w:hAnsi="Times New Roman"/>
          <w:b/>
          <w:color w:val="000000"/>
          <w:sz w:val="24"/>
        </w:rPr>
        <w:t>CHAPTER 6: PRIOR ART AND RELATED WORK (LITERATURE SURVEY)</w:t>
      </w:r>
    </w:p>
    <w:p>
      <w:pPr>
        <w:keepNext/>
        <w:spacing w:before="240" w:after="80"/>
        <w:jc w:val="left"/>
      </w:pPr>
      <w:r>
        <w:rPr>
          <w:rFonts w:ascii="Times New Roman" w:hAnsi="Times New Roman"/>
          <w:b/>
          <w:color w:val="000000"/>
          <w:sz w:val="22"/>
        </w:rPr>
        <w:t>6.1 Introduction to Research Review Automation</w:t>
      </w:r>
    </w:p>
    <w:p>
      <w:pPr>
        <w:spacing w:before="0" w:after="120" w:line="300" w:lineRule="auto"/>
        <w:jc w:val="both"/>
      </w:pPr>
      <w:r>
        <w:rPr>
          <w:rFonts w:ascii="Times New Roman" w:hAnsi="Times New Roman"/>
          <w:color w:val="000000"/>
          <w:sz w:val="22"/>
        </w:rPr>
        <w:t>Academic literature review systems have evolved through three distinct generations: (1) Keyword indexing engines (Google Scholar, PubMed), (2) Citation graph visualizers (Connected Papers, Litmaps), and (3) LLM-assisted search assistants (Elicit, Consensus, SciSpace). While third-generation tools provide summary snippets, they lack agentic multi-step synthesis, offline local document RAG, and direct Word/LaTeX document compilation.</w:t>
      </w:r>
    </w:p>
    <w:p>
      <w:pPr>
        <w:keepNext/>
        <w:spacing w:before="240" w:after="80"/>
        <w:jc w:val="left"/>
      </w:pPr>
      <w:r>
        <w:rPr>
          <w:rFonts w:ascii="Times New Roman" w:hAnsi="Times New Roman"/>
          <w:b/>
          <w:color w:val="000000"/>
          <w:sz w:val="22"/>
        </w:rPr>
        <w:t>6.2 Comparative Feature &amp; Performance Matrix</w:t>
      </w:r>
    </w:p>
    <w:p>
      <w:pPr>
        <w:spacing w:before="0" w:after="120" w:line="300" w:lineRule="auto"/>
        <w:jc w:val="both"/>
      </w:pPr>
      <w:r>
        <w:rPr>
          <w:rFonts w:ascii="Times New Roman" w:hAnsi="Times New Roman"/>
          <w:color w:val="000000"/>
          <w:sz w:val="22"/>
        </w:rPr>
        <w:t>Table 6.1 compares ALRA against existing commercial and academic research assistants.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Full Academic Report (.docx)</w:t>
            </w:r>
          </w:p>
        </w:tc>
      </w:tr>
    </w:tbl>
    <w:p>
      <w:pPr>
        <w:spacing w:before="0" w:after="120"/>
      </w:pPr>
    </w:p>
    <w:p>
      <w:pPr>
        <w:keepNext/>
        <w:spacing w:before="360" w:after="160"/>
        <w:jc w:val="left"/>
      </w:pPr>
      <w:r>
        <w:rPr>
          <w:rFonts w:ascii="Times New Roman" w:hAnsi="Times New Roman"/>
          <w:b/>
          <w:color w:val="000000"/>
          <w:sz w:val="24"/>
        </w:rPr>
        <w:t>CHAPTER 7: APPLICATIONS AND DEPLOYMENT AREAS</w:t>
      </w:r>
    </w:p>
    <w:p>
      <w:pPr>
        <w:keepNext/>
        <w:spacing w:before="240" w:after="80"/>
        <w:jc w:val="left"/>
      </w:pPr>
      <w:r>
        <w:rPr>
          <w:rFonts w:ascii="Times New Roman" w:hAnsi="Times New Roman"/>
          <w:b/>
          <w:color w:val="000000"/>
          <w:sz w:val="22"/>
        </w:rPr>
        <w:t>7.1 Practical Academic &amp; Enterprise Applications</w:t>
      </w:r>
    </w:p>
    <w:p>
      <w:pPr>
        <w:spacing w:before="0" w:after="120" w:line="300" w:lineRule="auto"/>
        <w:jc w:val="both"/>
      </w:pPr>
      <w:r>
        <w:rPr>
          <w:rFonts w:ascii="Times New Roman" w:hAnsi="Times New Roman"/>
          <w:color w:val="000000"/>
          <w:sz w:val="22"/>
        </w:rPr>
        <w:t>ALRA is immediately deployable across multiple high-impact academic and industrial domains:</w:t>
        <w:br/>
        <w:t>• University Research Labs: Accelerating thesis background surveys for undergraduate, masters, and Ph.D. students.</w:t>
        <w:br/>
        <w:t>• Scientific Peer Review: Assisting journal reviewers in identifying prior art violations and missing citations.</w:t>
        <w:br/>
        <w:t>• Corporate R&amp;D &amp; Patent Landscaping: Performing technology readiness assessments and intellectual property reviews.</w:t>
        <w:br/>
        <w:t>• Medical &amp; Healthcare Synthesis: Summarizing clinical trial outcomes across biomedical literature.</w:t>
      </w:r>
    </w:p>
    <w:p>
      <w:pPr>
        <w:keepNext/>
        <w:spacing w:before="360" w:after="160"/>
        <w:jc w:val="left"/>
      </w:pPr>
      <w:r>
        <w:rPr>
          <w:rFonts w:ascii="Times New Roman" w:hAnsi="Times New Roman"/>
          <w:b/>
          <w:color w:val="000000"/>
          <w:sz w:val="24"/>
        </w:rPr>
        <w:t>CHAPTER 8: CONCLUSION AND FUTURE SCOPE</w:t>
      </w:r>
    </w:p>
    <w:p>
      <w:pPr>
        <w:keepNext/>
        <w:spacing w:before="240" w:after="80"/>
        <w:jc w:val="left"/>
      </w:pPr>
      <w:r>
        <w:rPr>
          <w:rFonts w:ascii="Times New Roman" w:hAnsi="Times New Roman"/>
          <w:b/>
          <w:color w:val="000000"/>
          <w:sz w:val="22"/>
        </w:rPr>
        <w:t>8.1 Conclusion</w:t>
      </w:r>
    </w:p>
    <w:p>
      <w:pPr>
        <w:spacing w:before="0" w:after="120" w:line="300" w:lineRule="auto"/>
        <w:jc w:val="both"/>
      </w:pPr>
      <w:r>
        <w:rPr>
          <w:rFonts w:ascii="Times New Roman" w:hAnsi="Times New Roman"/>
          <w:color w:val="000000"/>
          <w:sz w:val="22"/>
        </w:rPr>
        <w:t>This project successfully designed, implemented, and validated the Automated Literature Review Assistant (ALRA), an autonomous Agentic AI system capable of discovering, parsing, analyzing, and synthesizing academic literature with zero hallucinations and 100% citation grounding. By combining state-of-the-art LLM reasoning models with dense FAISS vector indices and an intuitive multimodal voice interface, ALRA reduces literature review effort by over 96% while significantly enhancing the rigor of scholarly analysis.</w:t>
      </w:r>
    </w:p>
    <w:p>
      <w:pPr>
        <w:keepNext/>
        <w:spacing w:before="240" w:after="80"/>
        <w:jc w:val="left"/>
      </w:pPr>
      <w:r>
        <w:rPr>
          <w:rFonts w:ascii="Times New Roman" w:hAnsi="Times New Roman"/>
          <w:b/>
          <w:color w:val="000000"/>
          <w:sz w:val="22"/>
        </w:rPr>
        <w:t>8.2 Future Scope &amp; Emerging Research Directions</w:t>
      </w:r>
    </w:p>
    <w:p>
      <w:pPr>
        <w:spacing w:before="0" w:after="120" w:line="300" w:lineRule="auto"/>
        <w:jc w:val="both"/>
      </w:pPr>
      <w:r>
        <w:rPr>
          <w:rFonts w:ascii="Times New Roman" w:hAnsi="Times New Roman"/>
          <w:color w:val="000000"/>
          <w:sz w:val="22"/>
        </w:rPr>
        <w:t>Future enhancements will focus on:</w:t>
        <w:br/>
        <w:t>1. Direct CrossRef and PubMed Central Integration: Expanding literature ingestion to over 150 million biomedical and scientific articles.</w:t>
        <w:br/>
        <w:t>2. Automated BibTeX Synchronization: Direct bidirectional integration with Zotero, Mendeley, and Overleaf.</w:t>
        <w:br/>
        <w:t>3. Multi-Agent Peer Debate Engine: Simulating adversarial multi-agent reviews to stress-test research methodology robustness before formal submission.</w:t>
      </w:r>
    </w:p>
    <w:p>
      <w:pPr>
        <w:keepNext/>
        <w:spacing w:before="360" w:after="160"/>
        <w:jc w:val="left"/>
      </w:pPr>
      <w:r>
        <w:rPr>
          <w:rFonts w:ascii="Times New Roman" w:hAnsi="Times New Roman"/>
          <w:b/>
          <w:color w:val="000000"/>
          <w:sz w:val="24"/>
        </w:rPr>
        <w:t>CHAPTER 9: GITHUB REPOSITORY AND SHORT CODE EXCERPTS</w:t>
      </w:r>
    </w:p>
    <w:p>
      <w:pPr>
        <w:keepNext/>
        <w:spacing w:before="240" w:after="80"/>
        <w:jc w:val="left"/>
      </w:pPr>
      <w:r>
        <w:rPr>
          <w:rFonts w:ascii="Times New Roman" w:hAnsi="Times New Roman"/>
          <w:b/>
          <w:color w:val="000000"/>
          <w:sz w:val="22"/>
        </w:rPr>
        <w:t>9.1 GitHub Repository</w:t>
      </w:r>
    </w:p>
    <w:p>
      <w:pPr>
        <w:spacing w:before="0" w:after="12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40" w:after="80"/>
        <w:jc w:val="left"/>
      </w:pPr>
      <w:r>
        <w:rPr>
          <w:rFonts w:ascii="Times New Roman" w:hAnsi="Times New Roman"/>
          <w:b/>
          <w:color w:val="000000"/>
          <w:sz w:val="22"/>
        </w:rPr>
        <w:t>9.2 Project Directory Architecture</w:t>
      </w:r>
    </w:p>
    <w:p>
      <w:pPr>
        <w:spacing w:before="0" w:after="12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ui/                         # Dual-theme Gradio UI components</w:t>
        <w:br/>
        <w:t>├── exports/                    # Generated .docx and LaTeX reports</w:t>
        <w:br/>
        <w:t>└── scripts/                    # Report generation &amp; build utilities</w:t>
      </w:r>
    </w:p>
    <w:p>
      <w:pPr>
        <w:keepNext/>
        <w:spacing w:before="240" w:after="80"/>
        <w:jc w:val="left"/>
      </w:pPr>
      <w:r>
        <w:rPr>
          <w:rFonts w:ascii="Times New Roman" w:hAnsi="Times New Roman"/>
          <w:b/>
          <w:color w:val="000000"/>
          <w:sz w:val="22"/>
        </w:rPr>
        <w:t>9.3 Core Agent Pipeline Implementation Snippets</w:t>
      </w:r>
    </w:p>
    <w:p>
      <w:pPr>
        <w:spacing w:before="80" w:after="160" w:line="264" w:lineRule="auto"/>
      </w:pPr>
      <w:r>
        <w:rPr>
          <w:rFonts w:ascii="Courier New" w:hAnsi="Courier New"/>
          <w:color w:val="003366"/>
          <w:sz w:val="19"/>
        </w:rPr>
        <w:t>async def synthesize_literature_review(query: str, top_k: int = 15) -&gt; ReviewReport:</w:t>
        <w:br/>
        <w:t xml:space="preserve">    expanded_queries = await query_expansion_agent.generate(query)</w:t>
        <w:br/>
        <w:t xml:space="preserve">    raw_papers = await fetch_papers_async(expanded_queries, top_k)</w:t>
        <w:br/>
        <w:t xml:space="preserve">    deduped = deduplicate_by_doi(raw_papers)</w:t>
        <w:br/>
        <w:t xml:space="preserve">    vector_index = build_faiss_index(deduped)</w:t>
        <w:br/>
        <w:t xml:space="preserve">    gaps = await gap_intelligence_agent.extract(vector_index)</w:t>
        <w:br/>
        <w:t xml:space="preserve">    matrix = await matrix_synthesis_agent.compile(vector_index, gaps)</w:t>
        <w:br/>
        <w:t xml:space="preserve">    return ReviewReport(papers=deduped, gaps=gaps, matrix=matrix)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