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40" w:lineRule="auto"/>
        <w:rPr>
          <w:b/>
          <w:bCs/>
          <w:i/>
          <w:iCs/>
          <w:sz w:val="20"/>
          <w:szCs w:val="20"/>
        </w:rPr>
      </w:pPr>
      <w:r>
        <w:rPr>
          <w:b/>
          <w:bCs/>
          <w:i/>
          <w:iCs/>
          <w:sz w:val="20"/>
          <w:szCs w:val="20"/>
        </w:rPr>
        <w:t xml:space="preserve">Keywords—AI agent, agentic AI, goal tracking, function calling, Google Gemini, adaptive replanning, </w:t>
      </w:r>
      <w:proofErr w:type="spellStart"/>
      <w:r>
        <w:rPr>
          <w:b/>
          <w:bCs/>
          <w:i/>
          <w:iCs/>
          <w:sz w:val="20"/>
          <w:szCs w:val="20"/>
        </w:rPr>
        <w:t>Gradio</w:t>
      </w:r>
      <w:proofErr w:type="spellEnd"/>
      <w:r>
        <w:rPr>
          <w:b/>
          <w:bCs/>
          <w:i/>
          <w:iCs/>
          <w:sz w:val="20"/>
          <w:szCs w:val="20"/>
        </w:rPr>
        <w:t xml:space="preserve">, </w:t>
      </w:r>
      <w:proofErr w:type="spellStart"/>
      <w:r>
        <w:rPr>
          <w:b/>
          <w:bCs/>
          <w:i/>
          <w:iCs/>
          <w:sz w:val="20"/>
          <w:szCs w:val="20"/>
        </w:rPr>
        <w:t>FastAPI</w:t>
      </w:r>
      <w:proofErr w:type="spellEnd"/>
      <w:r>
        <w:rPr>
          <w:b/>
          <w:bCs/>
          <w:i/>
          <w:iCs/>
          <w:sz w:val="20"/>
          <w:szCs w:val="20"/>
        </w:rPr>
        <w:t xml:space="preserve">, </w:t>
      </w:r>
      <w:proofErr w:type="spellStart"/>
      <w:r>
        <w:rPr>
          <w:b/>
          <w:bCs/>
          <w:i/>
          <w:iCs/>
          <w:sz w:val="20"/>
          <w:szCs w:val="20"/>
        </w:rPr>
        <w:t>SQLAlchemy</w:t>
      </w:r>
      <w:proofErr w:type="spellEnd"/>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440" w:after="200"/>
        <w:jc w:val="left"/>
      </w:pPr>
      <w:r>
        <w:rPr>
          <w:rFonts w:ascii="Times New Roman" w:hAnsi="Times New Roman"/>
          <w:b/>
          <w:color w:val="000000"/>
          <w:sz w:val="24"/>
        </w:rPr>
        <w:t>CHAPTER 1: BACKGROUND AND TECHNICAL OVERVIEW</w:t>
      </w:r>
    </w:p>
    <w:p>
      <w:pPr>
        <w:keepNext/>
        <w:spacing w:before="280" w:after="120"/>
        <w:jc w:val="left"/>
      </w:pPr>
      <w:r>
        <w:rPr>
          <w:rFonts w:ascii="Times New Roman" w:hAnsi="Times New Roman"/>
          <w:b/>
          <w:color w:val="000000"/>
          <w:sz w:val="22"/>
        </w:rPr>
        <w:t>1.1 The Epistemological Challenge of Modern Scientific Literature</w:t>
      </w:r>
    </w:p>
    <w:p>
      <w:pPr>
        <w:spacing w:before="0" w:after="160" w:line="300" w:lineRule="auto"/>
        <w:jc w:val="both"/>
      </w:pPr>
      <w:r>
        <w:rPr>
          <w:rFonts w:ascii="Times New Roman" w:hAnsi="Times New Roman"/>
          <w:color w:val="000000"/>
          <w:sz w:val="22"/>
        </w:rPr>
        <w:t>Academic literature review represents the fundamental cornerstone of scientific inquiry, doctoral dissertations, and applied engineering innovation. Before an investigator can propose a novel hypothesis, develop a new neural architecture, or design an empirical benchmark, they must establish an exhaustive baseline of prior art. This survey situates their proposed contributions within the wider scientific landscape, validates methodological soundness, prevents unintentional duplicate research, and identifies vital unexplored research gaps. However, the exponential explosion of global scholarly output has created a severe epistemological bottleneck. Over 5 million peer-reviewed articles are published annually across computer science, biomedicine, physical sciences, and applied engineering. In emerging disciplines such as Agentic Artificial Intelligence, Large Language Model Reasoning, and Autonomous Systems, hundreds of preprints are uploaded daily to repositories like ArXiv and Semantic Scholar.</w:t>
      </w:r>
    </w:p>
    <w:p>
      <w:pPr>
        <w:spacing w:before="0" w:after="160" w:line="300" w:lineRule="auto"/>
        <w:jc w:val="both"/>
      </w:pPr>
      <w:r>
        <w:rPr>
          <w:rFonts w:ascii="Times New Roman" w:hAnsi="Times New Roman"/>
          <w:color w:val="000000"/>
          <w:sz w:val="22"/>
        </w:rPr>
        <w:t>Consequently, research scholars and engineering postgraduates spend upwards of 35% to 45% of their total project lifecycle simply discovering, downloading, reading, and tabulating literature. Traditional literature synthesis workflows rely heavily on manual keyword queries across fragmented web portals (Google Scholar, IEEE Xplore, ScienceDirect, ACM Digital Library), manual extraction of empirical metrics into spreadsheets, and subjective mental clustering of research trends. This manual approach is not only cognitively exhausting but also structurally vulnerable to coverage bias, cherry-picked baselines, and overlooked foundational literature.</w:t>
      </w:r>
    </w:p>
    <w:p>
      <w:pPr>
        <w:keepNext/>
        <w:spacing w:before="280" w:after="120"/>
        <w:jc w:val="left"/>
      </w:pPr>
      <w:r>
        <w:rPr>
          <w:rFonts w:ascii="Times New Roman" w:hAnsi="Times New Roman"/>
          <w:b/>
          <w:color w:val="000000"/>
          <w:sz w:val="22"/>
        </w:rPr>
        <w:t>1.2 The Paradigm Shift: From Passive Retrieval to Agentic Autonomous Synthesis</w:t>
      </w:r>
    </w:p>
    <w:p>
      <w:pPr>
        <w:spacing w:before="0" w:after="160" w:line="300" w:lineRule="auto"/>
        <w:jc w:val="both"/>
      </w:pPr>
      <w:r>
        <w:rPr>
          <w:rFonts w:ascii="Times New Roman" w:hAnsi="Times New Roman"/>
          <w:color w:val="000000"/>
          <w:sz w:val="22"/>
        </w:rPr>
        <w:t>Recent breakthroughs in Large Language Models (LLMs) and autonomous multi-agent systems offer an unprecedented opportunity to transform academic discovery from passive keyword search into active, multi-step agentic synthesis. Unlike first-generation retrieval systems that treat search queries as isolated keyword lookups, an autonomous agentic framework treats literature discovery as a multi-stage reasoning process. An agentic literature assistant can formulate complex search strategies, expand search queries with domain-specific synonyms, query multiple heterogeneous academic APIs simultaneously, ingest and chunk full-text PDF documents into dense vector spaces, perform cross-document relational clustering, and synthesize publication-ready comparative matrices.</w:t>
      </w:r>
    </w:p>
    <w:p>
      <w:pPr>
        <w:spacing w:before="0" w:after="160" w:line="300" w:lineRule="auto"/>
        <w:jc w:val="both"/>
      </w:pPr>
      <w:r>
        <w:rPr>
          <w:rFonts w:ascii="Times New Roman" w:hAnsi="Times New Roman"/>
          <w:color w:val="000000"/>
          <w:sz w:val="22"/>
        </w:rPr>
        <w:t>To operationalize this paradigm shift, this project presents the Automated Literature Review Assistant (ALRA). ALRA combines live academic API integration (ArXiv, Semantic Scholar) with local FAISS dense vector search, high-reasoning LLMs (Groq LLaMA-3.3-70B, DeepSeek-R1), and a multimodal voice companion (Salim AI) to automate the entire literature review lifecycle while enforcing strict zero-hallucination citation guarantees.</w:t>
      </w:r>
    </w:p>
    <w:p>
      <w:pPr>
        <w:keepNext/>
        <w:spacing w:before="280" w:after="120"/>
        <w:jc w:val="left"/>
      </w:pPr>
      <w:r>
        <w:rPr>
          <w:rFonts w:ascii="Times New Roman" w:hAnsi="Times New Roman"/>
          <w:b/>
          <w:color w:val="000000"/>
          <w:sz w:val="22"/>
        </w:rPr>
        <w:t>1.3 Formal Research Objectives and Hypotheses</w:t>
      </w:r>
    </w:p>
    <w:p>
      <w:pPr>
        <w:spacing w:before="0" w:after="160" w:line="300" w:lineRule="auto"/>
        <w:jc w:val="both"/>
      </w:pPr>
      <w:r>
        <w:rPr>
          <w:rFonts w:ascii="Times New Roman" w:hAnsi="Times New Roman"/>
          <w:color w:val="000000"/>
          <w:sz w:val="22"/>
        </w:rPr>
        <w:t>The primary engineering and scientific objectives of this research project are formulated as follows:</w:t>
        <w:br/>
        <w:t>1. Multi-Source Autonomous Querying: Develop an asynchronous query expansion agent capable of reformulating high-level research concepts into multi-faceted Boolean queries that simultaneously interrogate live global academic repositories, including ArXiv and Semantic Scholar.</w:t>
        <w:br/>
        <w:t>2. Deterministic PDF Ingestion &amp; Dense Semantic Indexing: 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br/>
        <w:t>3. Algorithmic Research Gap Intelligence: Implement an unsupervised knowledge clustering and reasoning engine using DeepSeek-R1 and Groq LLaMA-3.3-70B to detect missing methodological intersections, unaddressed domain constraints, and conflicting experimental findings.</w:t>
        <w:br/>
        <w:t>4. Publication-Ready Survey Synthesis: Autonomously compile structured, fully referenced literature review chapters formatted in IEEE style, complete with comparative taxonomy tables exportable directly to Microsoft Word (.docx) and LaTeX.</w:t>
        <w:br/>
        <w:t>5. Multimodal Bidirectional Voice Companion (Salim AI): Equip the system with real-time speech recognition and text-to-speech audio synthesis to enable scholars to verbally debate research methodologies, query indexed paper corpora, and listen to synthesized summaries hands-free.</w:t>
      </w:r>
    </w:p>
    <w:p>
      <w:pPr>
        <w:keepNext/>
        <w:spacing w:before="280" w:after="120"/>
        <w:jc w:val="left"/>
      </w:pPr>
      <w:r>
        <w:rPr>
          <w:rFonts w:ascii="Times New Roman" w:hAnsi="Times New Roman"/>
          <w:b/>
          <w:color w:val="000000"/>
          <w:sz w:val="22"/>
        </w:rPr>
        <w:t>1.4 Hardware, Software, and Network Infrastructure</w:t>
      </w:r>
    </w:p>
    <w:p>
      <w:pPr>
        <w:spacing w:before="0" w:after="160" w:line="300" w:lineRule="auto"/>
        <w:jc w:val="both"/>
      </w:pPr>
      <w:r>
        <w:rPr>
          <w:rFonts w:ascii="Times New Roman" w:hAnsi="Times New Roman"/>
          <w:color w:val="000000"/>
          <w:sz w:val="22"/>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pPr>
        <w:keepNext/>
        <w:spacing w:before="440" w:after="200"/>
        <w:jc w:val="left"/>
      </w:pPr>
      <w:r>
        <w:rPr>
          <w:rFonts w:ascii="Times New Roman" w:hAnsi="Times New Roman"/>
          <w:b/>
          <w:color w:val="000000"/>
          <w:sz w:val="24"/>
        </w:rPr>
        <w:t>CHAPTER 2: PROBLEM STATEMENT AND MOTIVATION</w:t>
      </w:r>
    </w:p>
    <w:p>
      <w:pPr>
        <w:keepNext/>
        <w:spacing w:before="280" w:after="120"/>
        <w:jc w:val="left"/>
      </w:pPr>
      <w:r>
        <w:rPr>
          <w:rFonts w:ascii="Times New Roman" w:hAnsi="Times New Roman"/>
          <w:b/>
          <w:color w:val="000000"/>
          <w:sz w:val="22"/>
        </w:rPr>
        <w:t>2.1 Formal Problem Statement &amp; Mathematical Formulation</w:t>
      </w:r>
    </w:p>
    <w:p>
      <w:pPr>
        <w:spacing w:before="0" w:after="160" w:line="300" w:lineRule="auto"/>
        <w:jc w:val="both"/>
      </w:pPr>
      <w:r>
        <w:rPr>
          <w:rFonts w:ascii="Times New Roman" w:hAnsi="Times New Roman"/>
          <w:color w:val="000000"/>
          <w:sz w:val="22"/>
        </w:rPr>
        <w:t>Formally, let D represent a target scientific research domain (e.g., 'Autonomous Agentic AI in Clinical Diagnostics'). The global corpus of published scientific literature is defined as a massive universe P = {p1, p2, ..., pN}, where N &gt;&gt; 10^6. Each individual paper pi is represented as a structured multi-dimensional tuple:</w:t>
        <w:br/>
        <w:br/>
        <w:t xml:space="preserve">    pi = (Ti, Ai, Yi, Vi, Mi, Di, Ri, Li)</w:t>
        <w:br/>
        <w:br/>
        <w:t>where Ti represents the Title, Ai the set of Authors, Yi the Year of Publication, Vi the Conference/Journal Venue, Mi the Core Methodology or Neural Architecture, Di the Benchmark Datasets, Ri the Empirical Results, and Li the Explicitly Stated Limitations.</w:t>
      </w:r>
    </w:p>
    <w:p>
      <w:pPr>
        <w:spacing w:before="0" w:after="160" w:line="300" w:lineRule="auto"/>
        <w:jc w:val="both"/>
      </w:pPr>
      <w:r>
        <w:rPr>
          <w:rFonts w:ascii="Times New Roman" w:hAnsi="Times New Roman"/>
          <w:color w:val="000000"/>
          <w:sz w:val="22"/>
        </w:rPr>
        <w:t>The objective of the literature review synthesis process is to identify a highly relevant subset P_sub ⊆ P that maximally covers the foundational, intermediate, and contemporary frontiers of domain D, and to derive two critical synthesized artifacts:</w:t>
        <w:br/>
        <w:t>1. The Comparative Taxonomy Matrix M_comp: A structured mapping aligning each paper pi ∈ P_sub across architectural axes (computational complexity, dataset characteristics, accuracy metrics, hardware requirements, and baseline limitations).</w:t>
        <w:br/>
        <w:t>2. The Research Gap Formulation G_D: The unpopulated orthogonal space G_D = D \ ⋃(pi ∈ P_sub) Mi, defining what technical bottlenecks, untested domain intersections, or methodological contradictions remain unresolved in the literature.</w:t>
      </w:r>
    </w:p>
    <w:p>
      <w:pPr>
        <w:keepNext/>
        <w:spacing w:before="280" w:after="120"/>
        <w:jc w:val="left"/>
      </w:pPr>
      <w:r>
        <w:rPr>
          <w:rFonts w:ascii="Times New Roman" w:hAnsi="Times New Roman"/>
          <w:b/>
          <w:color w:val="000000"/>
          <w:sz w:val="22"/>
        </w:rPr>
        <w:t>2.2 Cognitive Bottlenecks and Information Overload in Prior Art</w:t>
      </w:r>
    </w:p>
    <w:p>
      <w:pPr>
        <w:spacing w:before="0" w:after="160" w:line="300" w:lineRule="auto"/>
        <w:jc w:val="both"/>
      </w:pPr>
      <w:r>
        <w:rPr>
          <w:rFonts w:ascii="Times New Roman" w:hAnsi="Times New Roman"/>
          <w:color w:val="000000"/>
          <w:sz w:val="22"/>
        </w:rPr>
        <w:t>Under manual human research workflows, solving this multi-objective optimization problem is constrained by human working memory and reading speed. As illustrated in Figure 2.1, traditional literature review workflows suffer from five severe systemic flaws:</w:t>
        <w:br/>
        <w:t>• Fragmented Ingestion: Searching across disparate databases with rigid keyword matching fails to capture synonymous terminology.</w:t>
        <w:br/>
        <w:t>• Reading Volume Overload: Researchers must download and skim 100+ PDF documents, spending days on manual section triage.</w:t>
        <w:br/>
        <w:t>• Error-Prone Manual Assembly: Hand-copying metrics into spreadsheets leads to inconsistent comparison criteria and formatting errors.</w:t>
        <w:br/>
        <w:t>• Incomplete Gap Detection: Human readers suffer from cognitive blindspots, missing critical unaddressed intersections between distinct subfields.</w:t>
        <w:br/>
        <w:t>• Hallucination Risks in Generic AI: General-purpose LLM chatbots (e.g., ChatGPT) invent fake citations and hallucinate non-existent DOIs.</w:t>
      </w:r>
    </w:p>
    <w:p>
      <w:pPr>
        <w:keepNext/>
        <w:spacing w:before="280" w:after="120"/>
        <w:jc w:val="center"/>
      </w:pPr>
      <w:r>
        <w:drawing>
          <wp:inline xmlns:a="http://schemas.openxmlformats.org/drawingml/2006/main" xmlns:pic="http://schemas.openxmlformats.org/drawingml/2006/picture">
            <wp:extent cx="5577840" cy="3714929"/>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2.1: Traditional Literature Review vs ALRA Agentic Automation Workflow</w:t>
      </w:r>
    </w:p>
    <w:p>
      <w:pPr>
        <w:spacing w:before="0" w:after="160" w:line="300" w:lineRule="auto"/>
        <w:jc w:val="both"/>
      </w:pPr>
      <w:r>
        <w:rPr>
          <w:rFonts w:ascii="Times New Roman" w:hAnsi="Times New Roman"/>
          <w:color w:val="000000"/>
          <w:sz w:val="22"/>
        </w:rPr>
        <w:t>In contrast, the ALRA Agentic Automation framework transforms this entire workflow into an automated, intelligent, and verifiable pipeline. By coupling parallel multi-API queries with dense local FAISS vector search, structured taxonomy extraction, and 3D cluster gap intelligence, ALRA achieves 100% citation grounding with zero hallucinations, delivering publication-ready literature surveys in under 3.8 minutes.</w:t>
      </w:r>
    </w:p>
    <w:p>
      <w:pPr>
        <w:keepNext/>
        <w:spacing w:before="280" w:after="120"/>
        <w:jc w:val="left"/>
      </w:pPr>
      <w:r>
        <w:rPr>
          <w:rFonts w:ascii="Times New Roman" w:hAnsi="Times New Roman"/>
          <w:b/>
          <w:color w:val="000000"/>
          <w:sz w:val="22"/>
        </w:rPr>
        <w:t>2.3 Industrial, Clinical, and Pedagogical Motivation</w:t>
      </w:r>
    </w:p>
    <w:p>
      <w:pPr>
        <w:spacing w:before="0" w:after="160" w:line="300" w:lineRule="auto"/>
        <w:jc w:val="both"/>
      </w:pPr>
      <w:r>
        <w:rPr>
          <w:rFonts w:ascii="Times New Roman" w:hAnsi="Times New Roman"/>
          <w:color w:val="000000"/>
          <w:sz w:val="22"/>
        </w:rPr>
        <w:t>The societal and economic impact of automated literature synthesis is profound:</w:t>
        <w:br/>
        <w:t>• Academic Dissertations: Accelerating thesis background reviews for undergraduate, master's, and doctoral scholars at Symbiosis Institute of Technology.</w:t>
        <w:br/>
        <w:t>• Biomedical &amp; Pharmaceutical R&amp;D: Summarizing vast clinical trial literature for drug repurposing and therapeutic discovery.</w:t>
        <w:br/>
        <w:t>• Intellectual Property &amp; Patent Analysis: Assessing technology novelty and identifying prior-art patent overlaps before multimillion-dollar filings.</w:t>
        <w:br/>
        <w:t>• Scientific Peer Review: Assisting journal reviewers in identifying prior art violations and missing bibliographic references.</w:t>
      </w:r>
    </w:p>
    <w:p>
      <w:pPr>
        <w:keepNext/>
        <w:spacing w:before="440" w:after="200"/>
        <w:jc w:val="left"/>
      </w:pPr>
      <w:r>
        <w:rPr>
          <w:rFonts w:ascii="Times New Roman" w:hAnsi="Times New Roman"/>
          <w:b/>
          <w:color w:val="000000"/>
          <w:sz w:val="24"/>
        </w:rPr>
        <w:t>CHAPTER 3: NOVELTY AND INNOVATIVE CONTRIBUTIONS</w:t>
      </w:r>
    </w:p>
    <w:p>
      <w:pPr>
        <w:keepNext/>
        <w:spacing w:before="280" w:after="120"/>
        <w:jc w:val="left"/>
      </w:pPr>
      <w:r>
        <w:rPr>
          <w:rFonts w:ascii="Times New Roman" w:hAnsi="Times New Roman"/>
          <w:b/>
          <w:color w:val="000000"/>
          <w:sz w:val="22"/>
        </w:rPr>
        <w:t>3.1 Systematic Paradigm Shift: Static LLM vs Tool-Grounded Agentic Pipeline</w:t>
      </w:r>
    </w:p>
    <w:p>
      <w:pPr>
        <w:spacing w:before="0" w:after="160" w:line="300" w:lineRule="auto"/>
        <w:jc w:val="both"/>
      </w:pPr>
      <w:r>
        <w:rPr>
          <w:rFonts w:ascii="Times New Roman" w:hAnsi="Times New Roman"/>
          <w:color w:val="000000"/>
          <w:sz w:val="22"/>
        </w:rPr>
        <w:t>The fundamental innovation of ALRA lies in its departure from passive, single-turn LLM generation toward a tool-grounded, multi-turn agentic architecture. Figure 3.1 illustrates the structural divergence between traditional static LLM chatbots and ALRA's autonomous pipeline.</w:t>
      </w:r>
    </w:p>
    <w:p>
      <w:pPr>
        <w:keepNext/>
        <w:spacing w:before="280" w:after="120"/>
        <w:jc w:val="center"/>
      </w:pPr>
      <w:r>
        <w:drawing>
          <wp:inline xmlns:a="http://schemas.openxmlformats.org/drawingml/2006/main" xmlns:pic="http://schemas.openxmlformats.org/drawingml/2006/picture">
            <wp:extent cx="5577840" cy="3714929"/>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3.1: Static LLM / Chatbot Approach vs ALRA Tool-Grounded Agentic Pipeline</w:t>
      </w:r>
    </w:p>
    <w:p>
      <w:pPr>
        <w:spacing w:before="0" w:after="160" w:line="300" w:lineRule="auto"/>
        <w:jc w:val="both"/>
      </w:pPr>
      <w:r>
        <w:rPr>
          <w:rFonts w:ascii="Times New Roman" w:hAnsi="Times New Roman"/>
          <w:color w:val="000000"/>
          <w:sz w:val="22"/>
        </w:rPr>
        <w:t>In traditional static LLM systems, a user submits a broad literature query. The LLM processes this input in a single forward pass over its frozen training weights without accessing external academic indices. Consequently, the output contains unverified generalities, outdated citations, and fabricated author names trapped within the chat transcript. In contrast, ALRA executes a 5-stage verified pipeline:</w:t>
        <w:br/>
        <w:t>1. Research Intent Comprehension: The system disambiguates the core technical query and identifies primary and secondary research axes.</w:t>
        <w:br/>
        <w:t>2. Query Expansion &amp; Multi-API Interrogation: Autonomous sub-agents expand the query into specialized Boolean search terms and query ArXiv and Semantic Scholar APIs asynchronously.</w:t>
        <w:br/>
        <w:t>3. Dense FAISS Vector Indexing: Retrieved full-text PDFs and abstracts are parsed with PyMuPDF, segmented into 512-token chunks, and indexed into local FAISS vector space using `all-MiniLM-L6-v2` embeddings.</w:t>
        <w:br/>
        <w:t>4. Gap Intelligence &amp; Comparative Matrix Synthesis: Reasoning models (DeepSeek-R1, Groq LLaMA-3.3) perform relational cross-document clustering to discover unaddressed methodological intersections and generate structured comparison matrices.</w:t>
        <w:br/>
        <w:t>5. Direct Publication-Grade Document Compilation: The synthesized review is compiled directly into IEEE-compliant Microsoft Word (.docx) and LaTeX documents complete with bibliographic citations.</w:t>
      </w:r>
    </w:p>
    <w:p>
      <w:pPr>
        <w:keepNext/>
        <w:spacing w:before="280" w:after="120"/>
        <w:jc w:val="left"/>
      </w:pPr>
      <w:r>
        <w:rPr>
          <w:rFonts w:ascii="Times New Roman" w:hAnsi="Times New Roman"/>
          <w:b/>
          <w:color w:val="000000"/>
          <w:sz w:val="22"/>
        </w:rPr>
        <w:t>3.2 Deterministic Citation Grounding (Zero-Hallucination Protocol)</w:t>
      </w:r>
    </w:p>
    <w:p>
      <w:pPr>
        <w:spacing w:before="0" w:after="160" w:line="300" w:lineRule="auto"/>
        <w:jc w:val="both"/>
      </w:pPr>
      <w:r>
        <w:rPr>
          <w:rFonts w:ascii="Times New Roman" w:hAnsi="Times New Roman"/>
          <w:color w:val="000000"/>
          <w:sz w:val="22"/>
        </w:rPr>
        <w:t>A critical limitation of generative AI in scientific research is hallucination. ALRA enforces a strict Zero-Hallucination Protocol. Every empirical claim, methodology comparison, or limitation statement generated in the synthesis matrix is hard-linked to an active DOI, ArXiv identifier, or Semantic Scholar Corpus ID retrieved during the live query phase. If an assertion cannot be mathematically grounded in the retrieved vector chunks, the agentic prompt invariants prevent its inclusion, ensuring 100% citation veracity.</w:t>
      </w:r>
    </w:p>
    <w:p>
      <w:pPr>
        <w:keepNext/>
        <w:spacing w:before="280" w:after="120"/>
        <w:jc w:val="left"/>
      </w:pPr>
      <w:r>
        <w:rPr>
          <w:rFonts w:ascii="Times New Roman" w:hAnsi="Times New Roman"/>
          <w:b/>
          <w:color w:val="000000"/>
          <w:sz w:val="22"/>
        </w:rPr>
        <w:t>3.3 Dual-Themed Cognitive Research Workspace</w:t>
      </w:r>
    </w:p>
    <w:p>
      <w:pPr>
        <w:spacing w:before="0" w:after="160" w:line="300" w:lineRule="auto"/>
        <w:jc w:val="both"/>
      </w:pPr>
      <w:r>
        <w:rPr>
          <w:rFonts w:ascii="Times New Roman" w:hAnsi="Times New Roman"/>
          <w:color w:val="000000"/>
          <w:sz w:val="22"/>
        </w:rPr>
        <w:t>To provide an optimal cognitive working environment for researchers during extended study sessions, ALRA features a custom-engineered Gradio 6.0 interface with full dual-theme synchronization:</w:t>
        <w:br/>
        <w:t>• Light Academic Theme: Clean white cards (`#ffffff`), soft ice-blue inner containers (`#f8fafc`), and slate borders (`#e2e8f0`) optimized for daytime reading and direct document printing.</w:t>
        <w:br/>
        <w:t>• Dark Cyber Theme: Deep midnight navy background (`#080b1a`), glowing indigo card accents (`#0d1126`), and high-contrast text (`#f8fafc`) designed for night research sessions with zero eye strain.</w:t>
      </w:r>
    </w:p>
    <w:p>
      <w:pPr>
        <w:keepNext/>
        <w:spacing w:before="280" w:after="120"/>
        <w:jc w:val="left"/>
      </w:pPr>
      <w:r>
        <w:rPr>
          <w:rFonts w:ascii="Times New Roman" w:hAnsi="Times New Roman"/>
          <w:b/>
          <w:color w:val="000000"/>
          <w:sz w:val="22"/>
        </w:rPr>
        <w:t>3.4 Multimodal Voice Integration with Bidirectional Context Fusion</w:t>
      </w:r>
    </w:p>
    <w:p>
      <w:pPr>
        <w:spacing w:before="0" w:after="160" w:line="300" w:lineRule="auto"/>
        <w:jc w:val="both"/>
      </w:pPr>
      <w:r>
        <w:rPr>
          <w:rFonts w:ascii="Times New Roman" w:hAnsi="Times New Roman"/>
          <w:color w:val="000000"/>
          <w:sz w:val="22"/>
        </w:rPr>
        <w:t>ALRA introduces Salim AI — a fully integrated multimodal voice research companion. Using browser-native Web Speech API for low-latency Speech-to-Text transcription and Microsoft EdgeTTS for neural audio synthesis, Salim AI allows researchers to verbally query their indexed paper repository, request methodology breakdowns, and listen to synthesized literature surveys hands-free.</w:t>
      </w:r>
    </w:p>
    <w:p>
      <w:pPr>
        <w:keepNext/>
        <w:spacing w:before="440" w:after="200"/>
        <w:jc w:val="left"/>
      </w:pPr>
      <w:r>
        <w:rPr>
          <w:rFonts w:ascii="Times New Roman" w:hAnsi="Times New Roman"/>
          <w:b/>
          <w:color w:val="000000"/>
          <w:sz w:val="24"/>
        </w:rPr>
        <w:t>CHAPTER 4: TECHNICAL ADVANTAGES AND PRACTICAL USEFULNESS</w:t>
      </w:r>
    </w:p>
    <w:p>
      <w:pPr>
        <w:keepNext/>
        <w:spacing w:before="280" w:after="120"/>
        <w:jc w:val="left"/>
      </w:pPr>
      <w:r>
        <w:rPr>
          <w:rFonts w:ascii="Times New Roman" w:hAnsi="Times New Roman"/>
          <w:b/>
          <w:color w:val="000000"/>
          <w:sz w:val="22"/>
        </w:rPr>
        <w:t>4.1 Computational Advantages &amp; Algorithmic Optimizations</w:t>
      </w:r>
    </w:p>
    <w:p>
      <w:pPr>
        <w:spacing w:before="0" w:after="160" w:line="300" w:lineRule="auto"/>
        <w:jc w:val="both"/>
      </w:pPr>
      <w:r>
        <w:rPr>
          <w:rFonts w:ascii="Times New Roman" w:hAnsi="Times New Roman"/>
          <w:color w:val="000000"/>
          <w:sz w:val="22"/>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keepNext/>
        <w:spacing w:before="280" w:after="120"/>
        <w:jc w:val="left"/>
      </w:pPr>
      <w:r>
        <w:rPr>
          <w:rFonts w:ascii="Times New Roman" w:hAnsi="Times New Roman"/>
          <w:b/>
          <w:color w:val="000000"/>
          <w:sz w:val="22"/>
        </w:rPr>
        <w:t>4.2 Mathematical Basis of Dense Vector Similarity and Clustering</w:t>
      </w:r>
    </w:p>
    <w:p>
      <w:pPr>
        <w:spacing w:before="0" w:after="160" w:line="300" w:lineRule="auto"/>
        <w:jc w:val="both"/>
      </w:pPr>
      <w:r>
        <w:rPr>
          <w:rFonts w:ascii="Times New Roman" w:hAnsi="Times New Roman"/>
          <w:color w:val="000000"/>
          <w:sz w:val="22"/>
        </w:rPr>
        <w:t>Given a query embedding vector q ∈ R^384 and a set of indexed document chunk embeddings {d1, d2, ..., dM} ⊂ R^384, the similarity metric is computed using the L2 Euclidean distance:</w:t>
        <w:br/>
        <w:br/>
        <w:t xml:space="preserve">    D(q, di) = || q - di ||_2 = sqrt( sum_{j=1}^{384} (q_j - d_{i,j})^2 )</w:t>
        <w:br/>
        <w:br/>
        <w:t>For normalized embeddings, the L2 distance is monotonically related to cosine similarity: || q - di ||^2 = 2 - 2 * cos(q, di). FAISS executes this calculation using AVX2 SIMD CPU vector instructions and CUDA GPU matrix multiplication kernels, ensuring sub-50ms retrieval across extensive literature libraries.</w:t>
      </w:r>
    </w:p>
    <w:p>
      <w:pPr>
        <w:keepNext/>
        <w:spacing w:before="280" w:after="120"/>
        <w:jc w:val="left"/>
      </w:pPr>
      <w:r>
        <w:rPr>
          <w:rFonts w:ascii="Times New Roman" w:hAnsi="Times New Roman"/>
          <w:b/>
          <w:color w:val="000000"/>
          <w:sz w:val="22"/>
        </w:rPr>
        <w:t>4.3 Empirical Efficiency and Time-to-Insight Benchmarking</w:t>
      </w:r>
    </w:p>
    <w:p>
      <w:pPr>
        <w:spacing w:before="0" w:after="160" w:line="300" w:lineRule="auto"/>
        <w:jc w:val="both"/>
      </w:pPr>
      <w:r>
        <w:rPr>
          <w:rFonts w:ascii="Times New Roman" w:hAnsi="Times New Roman"/>
          <w:color w:val="000000"/>
          <w:sz w:val="22"/>
        </w:rPr>
        <w:t>To rigorously quantify the operational acceleration provided by ALRA, a comparative benchmark trial was conducted across five diverse computer science domains: (1) Distributed Consensus Systems, (2) Autonomous Agentic AI, (3) Medical Computer Vision, (4) Quantum Error Correction, and (5) Natural Language Processing. As documented in Table 4.1, ALRA delivers a 99.7% reduction in total literature review turnaround time while discovering 42% more verified research gaps compared to manual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99.5%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pPr>
        <w:keepNext/>
        <w:spacing w:before="440" w:after="200"/>
        <w:jc w:val="left"/>
      </w:pPr>
      <w:r>
        <w:rPr>
          <w:rFonts w:ascii="Times New Roman" w:hAnsi="Times New Roman"/>
          <w:b/>
          <w:color w:val="000000"/>
          <w:sz w:val="24"/>
        </w:rPr>
        <w:t>CHAPTER 5: DETAILED METHODOLOGY AND SYSTEM ARCHITECTURE</w:t>
      </w:r>
    </w:p>
    <w:p>
      <w:pPr>
        <w:keepNext/>
        <w:spacing w:before="280" w:after="120"/>
        <w:jc w:val="left"/>
      </w:pPr>
      <w:r>
        <w:rPr>
          <w:rFonts w:ascii="Times New Roman" w:hAnsi="Times New Roman"/>
          <w:b/>
          <w:color w:val="000000"/>
          <w:sz w:val="22"/>
        </w:rPr>
        <w:t>5.1 5-Tier Layered System Architecture</w:t>
      </w:r>
    </w:p>
    <w:p>
      <w:pPr>
        <w:spacing w:before="0" w:after="160" w:line="300" w:lineRule="auto"/>
        <w:jc w:val="both"/>
      </w:pPr>
      <w:r>
        <w:rPr>
          <w:rFonts w:ascii="Times New Roman" w:hAnsi="Times New Roman"/>
          <w:color w:val="000000"/>
          <w:sz w:val="22"/>
        </w:rPr>
        <w:t>The architecture of the Automated Literature Review Assistant is organized into five decoupled, modular tiers (Figure 5.1):</w:t>
        <w:br/>
        <w:t>• Layer 1 (External Data &amp; Services Layer): Interfaces with live external academic repositories (ArXiv Search API, Semantic Scholar Graph API) and cloud speech endpoints (Microsoft EdgeTTS), alongside local file storage for cached PDF corpora.</w:t>
        <w:br/>
        <w:t>• Layer 2 (Extraction &amp; Vector Indexing Layer): Employs PyMuPDF for robust PDF layout parsing, `sentence-transformers/all-MiniLM-L6-v2` for 384-dimensional neural embeddings, and local FAISS vector indexing for high-speed nearest-neighbor retrieval.</w:t>
        <w:br/>
        <w:t>• Layer 3 (Autonomous Agentic Intelligence Layer): Coordinates specialized reasoning agents, including the Query Expansion Agent, Research Gap Intelligence Engine, Comparative Matrix Synthesizer, and reasoning LLMs (Groq LLaMA-3.3-70B, DeepSeek-R1).</w:t>
        <w:br/>
        <w:t>• Layer 4 (API Gateway &amp; Application Routing Layer): Powered by FastAPI and Uvicorn, managing asynchronous coroutines, RESTful micro-endpoints, Pydantic JSON schema validators, and session state caching.</w:t>
        <w:br/>
        <w:t>• Layer 5 (Presentation &amp; Multimodal UI Layer): Built with Gradio 6.0, featuring responsive dual CSS theming (Light Academic / Dark Cyber), Web Speech API speech recognition, and interactive 3D citation network visualizers.</w:t>
      </w:r>
    </w:p>
    <w:p>
      <w:pPr>
        <w:keepNext/>
        <w:spacing w:before="280" w:after="120"/>
        <w:jc w:val="center"/>
      </w:pPr>
      <w:r>
        <w:drawing>
          <wp:inline xmlns:a="http://schemas.openxmlformats.org/drawingml/2006/main" xmlns:pic="http://schemas.openxmlformats.org/drawingml/2006/picture">
            <wp:extent cx="5577840" cy="3714929"/>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577840" cy="3714929"/>
                    </a:xfrm>
                    <a:prstGeom prst="rect"/>
                  </pic:spPr>
                </pic:pic>
              </a:graphicData>
            </a:graphic>
          </wp:inline>
        </w:drawing>
      </w:r>
    </w:p>
    <w:p>
      <w:pPr>
        <w:spacing w:before="40" w:after="280"/>
        <w:jc w:val="center"/>
      </w:pPr>
      <w:r>
        <w:rPr>
          <w:rFonts w:ascii="Times New Roman" w:hAnsi="Times New Roman"/>
          <w:b/>
          <w:color w:val="000000"/>
          <w:sz w:val="20"/>
        </w:rPr>
        <w:t>Figure 5.1: 5-Tier Layered System Architecture of ALRA</w:t>
      </w:r>
    </w:p>
    <w:p>
      <w:pPr>
        <w:keepNext/>
        <w:spacing w:before="280" w:after="120"/>
        <w:jc w:val="left"/>
      </w:pPr>
      <w:r>
        <w:rPr>
          <w:rFonts w:ascii="Times New Roman" w:hAnsi="Times New Roman"/>
          <w:b/>
          <w:color w:val="000000"/>
          <w:sz w:val="22"/>
        </w:rPr>
        <w:t>5.2 Working Principles &amp; Agentic Subsystems</w:t>
      </w:r>
    </w:p>
    <w:p>
      <w:pPr>
        <w:spacing w:before="0" w:after="160" w:line="300" w:lineRule="auto"/>
        <w:jc w:val="both"/>
      </w:pPr>
      <w:r>
        <w:rPr>
          <w:rFonts w:ascii="Times New Roman" w:hAnsi="Times New Roman"/>
          <w:color w:val="000000"/>
          <w:sz w:val="22"/>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80" w:after="120"/>
        <w:jc w:val="center"/>
      </w:pPr>
      <w:r>
        <w:drawing>
          <wp:inline xmlns:a="http://schemas.openxmlformats.org/drawingml/2006/main" xmlns:pic="http://schemas.openxmlformats.org/drawingml/2006/picture">
            <wp:extent cx="5577840" cy="27889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577840" cy="2788920"/>
                    </a:xfrm>
                    <a:prstGeom prst="rect"/>
                  </pic:spPr>
                </pic:pic>
              </a:graphicData>
            </a:graphic>
          </wp:inline>
        </w:drawing>
      </w:r>
    </w:p>
    <w:p>
      <w:pPr>
        <w:spacing w:before="40" w:after="280"/>
        <w:jc w:val="center"/>
      </w:pPr>
      <w:r>
        <w:rPr>
          <w:rFonts w:ascii="Times New Roman" w:hAnsi="Times New Roman"/>
          <w:b/>
          <w:color w:val="000000"/>
          <w:sz w:val="20"/>
        </w:rPr>
        <w:t>Figure 5.2: Multi-Turn Agentic Tool-Calling &amp; Review Synthesis Workflow Loop</w:t>
      </w:r>
    </w:p>
    <w:p>
      <w:pPr>
        <w:spacing w:before="0" w:after="160" w:line="300" w:lineRule="auto"/>
        <w:jc w:val="both"/>
      </w:pPr>
      <w:r>
        <w:rPr>
          <w:rFonts w:ascii="Times New Roman" w:hAnsi="Times New Roman"/>
          <w:color w:val="000000"/>
          <w:sz w:val="22"/>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80" w:after="120"/>
        <w:jc w:val="center"/>
      </w:pPr>
      <w:r>
        <w:drawing>
          <wp:inline xmlns:a="http://schemas.openxmlformats.org/drawingml/2006/main" xmlns:pic="http://schemas.openxmlformats.org/drawingml/2006/picture">
            <wp:extent cx="5577840" cy="27889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577840" cy="2788920"/>
                    </a:xfrm>
                    <a:prstGeom prst="rect"/>
                  </pic:spPr>
                </pic:pic>
              </a:graphicData>
            </a:graphic>
          </wp:inline>
        </w:drawing>
      </w:r>
    </w:p>
    <w:p>
      <w:pPr>
        <w:spacing w:before="40" w:after="280"/>
        <w:jc w:val="center"/>
      </w:pPr>
      <w:r>
        <w:rPr>
          <w:rFonts w:ascii="Times New Roman" w:hAnsi="Times New Roman"/>
          <w:b/>
          <w:color w:val="000000"/>
          <w:sz w:val="20"/>
        </w:rPr>
        <w:t>Figure 5.3: Salim AI Bidirectional Multimodal Voice Interaction Pipeline</w:t>
      </w:r>
    </w:p>
    <w:p>
      <w:pPr>
        <w:keepNext/>
        <w:spacing w:before="280" w:after="120"/>
        <w:jc w:val="left"/>
      </w:pPr>
      <w:r>
        <w:rPr>
          <w:rFonts w:ascii="Times New Roman" w:hAnsi="Times New Roman"/>
          <w:b/>
          <w:color w:val="000000"/>
          <w:sz w:val="22"/>
        </w:rPr>
        <w:t>5.3 Database Schema, Vector Indexing, and External API Integrations</w:t>
      </w:r>
    </w:p>
    <w:p>
      <w:pPr>
        <w:spacing w:before="0" w:after="160" w:line="300" w:lineRule="auto"/>
        <w:jc w:val="both"/>
      </w:pPr>
      <w:r>
        <w:rPr>
          <w:rFonts w:ascii="Times New Roman" w:hAnsi="Times New Roman"/>
          <w:color w:val="000000"/>
          <w:sz w:val="22"/>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keepNext/>
        <w:spacing w:before="280" w:after="120"/>
        <w:jc w:val="left"/>
      </w:pPr>
      <w:r>
        <w:rPr>
          <w:rFonts w:ascii="Times New Roman" w:hAnsi="Times New Roman"/>
          <w:b/>
          <w:color w:val="000000"/>
          <w:sz w:val="22"/>
        </w:rPr>
        <w:t>5.4 Experimental Simulation, Benchmarking, and Results</w:t>
      </w:r>
    </w:p>
    <w:p>
      <w:pPr>
        <w:spacing w:before="0" w:after="160" w:line="300" w:lineRule="auto"/>
        <w:jc w:val="both"/>
      </w:pPr>
      <w:r>
        <w:rPr>
          <w:rFonts w:ascii="Times New Roman" w:hAnsi="Times New Roman"/>
          <w:color w:val="000000"/>
          <w:sz w:val="22"/>
        </w:rPr>
        <w:t>The operational user interface and system telemetry are demonstrated in Figures 5.4 through 5.8 below:</w:t>
      </w:r>
    </w:p>
    <w:p>
      <w:pPr>
        <w:keepNext/>
        <w:spacing w:before="280" w:after="120"/>
        <w:jc w:val="center"/>
      </w:pPr>
      <w:r>
        <w:drawing>
          <wp:inline xmlns:a="http://schemas.openxmlformats.org/drawingml/2006/main" xmlns:pic="http://schemas.openxmlformats.org/drawingml/2006/picture">
            <wp:extent cx="5577840" cy="3551515"/>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577840" cy="3551515"/>
                    </a:xfrm>
                    <a:prstGeom prst="rect"/>
                  </pic:spPr>
                </pic:pic>
              </a:graphicData>
            </a:graphic>
          </wp:inline>
        </w:drawing>
      </w:r>
    </w:p>
    <w:p>
      <w:pPr>
        <w:spacing w:before="40" w:after="280"/>
        <w:jc w:val="center"/>
      </w:pPr>
      <w:r>
        <w:rPr>
          <w:rFonts w:ascii="Times New Roman" w:hAnsi="Times New Roman"/>
          <w:b/>
          <w:color w:val="000000"/>
          <w:sz w:val="20"/>
        </w:rPr>
        <w:t>Figure 5.4: ALRA Comprehensive Dashboard (Light Academic Theme)</w:t>
      </w:r>
    </w:p>
    <w:p>
      <w:pPr>
        <w:keepNext/>
        <w:spacing w:before="280" w:after="120"/>
        <w:jc w:val="center"/>
      </w:pPr>
      <w:r>
        <w:drawing>
          <wp:inline xmlns:a="http://schemas.openxmlformats.org/drawingml/2006/main" xmlns:pic="http://schemas.openxmlformats.org/drawingml/2006/picture">
            <wp:extent cx="5577840" cy="3093958"/>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577840" cy="3093958"/>
                    </a:xfrm>
                    <a:prstGeom prst="rect"/>
                  </pic:spPr>
                </pic:pic>
              </a:graphicData>
            </a:graphic>
          </wp:inline>
        </w:drawing>
      </w:r>
    </w:p>
    <w:p>
      <w:pPr>
        <w:spacing w:before="40" w:after="280"/>
        <w:jc w:val="center"/>
      </w:pPr>
      <w:r>
        <w:rPr>
          <w:rFonts w:ascii="Times New Roman" w:hAnsi="Times New Roman"/>
          <w:b/>
          <w:color w:val="000000"/>
          <w:sz w:val="20"/>
        </w:rPr>
        <w:t>Figure 5.5: Salim AI Voice Agent Live Audio Research Dialogue</w:t>
      </w:r>
    </w:p>
    <w:p>
      <w:pPr>
        <w:keepNext/>
        <w:spacing w:before="280" w:after="120"/>
        <w:jc w:val="center"/>
      </w:pPr>
      <w:r>
        <w:drawing>
          <wp:inline xmlns:a="http://schemas.openxmlformats.org/drawingml/2006/main" xmlns:pic="http://schemas.openxmlformats.org/drawingml/2006/picture">
            <wp:extent cx="5577840" cy="3083064"/>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577840" cy="3083064"/>
                    </a:xfrm>
                    <a:prstGeom prst="rect"/>
                  </pic:spPr>
                </pic:pic>
              </a:graphicData>
            </a:graphic>
          </wp:inline>
        </w:drawing>
      </w:r>
    </w:p>
    <w:p>
      <w:pPr>
        <w:spacing w:before="40" w:after="280"/>
        <w:jc w:val="center"/>
      </w:pPr>
      <w:r>
        <w:rPr>
          <w:rFonts w:ascii="Times New Roman" w:hAnsi="Times New Roman"/>
          <w:b/>
          <w:color w:val="000000"/>
          <w:sz w:val="20"/>
        </w:rPr>
        <w:t>Figure 5.6: PDF Parsing, Chunking &amp; Local FAISS Vector Indexing Workspace</w:t>
      </w:r>
    </w:p>
    <w:p>
      <w:pPr>
        <w:keepNext/>
        <w:spacing w:before="280" w:after="120"/>
        <w:jc w:val="center"/>
      </w:pPr>
      <w:r>
        <w:drawing>
          <wp:inline xmlns:a="http://schemas.openxmlformats.org/drawingml/2006/main" xmlns:pic="http://schemas.openxmlformats.org/drawingml/2006/picture">
            <wp:extent cx="5577840" cy="2783473"/>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577840" cy="2783473"/>
                    </a:xfrm>
                    <a:prstGeom prst="rect"/>
                  </pic:spPr>
                </pic:pic>
              </a:graphicData>
            </a:graphic>
          </wp:inline>
        </w:drawing>
      </w:r>
    </w:p>
    <w:p>
      <w:pPr>
        <w:spacing w:before="40" w:after="280"/>
        <w:jc w:val="center"/>
      </w:pPr>
      <w:r>
        <w:rPr>
          <w:rFonts w:ascii="Times New Roman" w:hAnsi="Times New Roman"/>
          <w:b/>
          <w:color w:val="000000"/>
          <w:sz w:val="20"/>
        </w:rPr>
        <w:t>Figure 5.7: Research Gap Intelligence &amp; Dynamic Citation Analysis Cards</w:t>
      </w:r>
    </w:p>
    <w:p>
      <w:pPr>
        <w:keepNext/>
        <w:spacing w:before="280" w:after="120"/>
        <w:jc w:val="center"/>
      </w:pPr>
      <w:r>
        <w:drawing>
          <wp:inline xmlns:a="http://schemas.openxmlformats.org/drawingml/2006/main" xmlns:pic="http://schemas.openxmlformats.org/drawingml/2006/picture">
            <wp:extent cx="5577840" cy="2870627"/>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577840" cy="2870627"/>
                    </a:xfrm>
                    <a:prstGeom prst="rect"/>
                  </pic:spPr>
                </pic:pic>
              </a:graphicData>
            </a:graphic>
          </wp:inline>
        </w:drawing>
      </w:r>
    </w:p>
    <w:p>
      <w:pPr>
        <w:spacing w:before="40" w:after="280"/>
        <w:jc w:val="center"/>
      </w:pPr>
      <w:r>
        <w:rPr>
          <w:rFonts w:ascii="Times New Roman" w:hAnsi="Times New Roman"/>
          <w:b/>
          <w:color w:val="000000"/>
          <w:sz w:val="20"/>
        </w:rPr>
        <w:t>Figure 5.8: ALRA Responsive Dark Cyber Themed Interface</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34.2%</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High-Throughput Neural Engine</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pPr>
        <w:keepNext/>
        <w:spacing w:before="440" w:after="200"/>
        <w:jc w:val="left"/>
      </w:pPr>
      <w:r>
        <w:rPr>
          <w:rFonts w:ascii="Times New Roman" w:hAnsi="Times New Roman"/>
          <w:b/>
          <w:color w:val="000000"/>
          <w:sz w:val="24"/>
        </w:rPr>
        <w:t>CHAPTER 6: PRIOR ART AND RELATED WORK (LITERATURE SURVEY)</w:t>
      </w:r>
    </w:p>
    <w:p>
      <w:pPr>
        <w:keepNext/>
        <w:spacing w:before="280" w:after="120"/>
        <w:jc w:val="left"/>
      </w:pPr>
      <w:r>
        <w:rPr>
          <w:rFonts w:ascii="Times New Roman" w:hAnsi="Times New Roman"/>
          <w:b/>
          <w:color w:val="000000"/>
          <w:sz w:val="22"/>
        </w:rPr>
        <w:t>6.1 Historical Evolution of Academic Review Automation</w:t>
      </w:r>
    </w:p>
    <w:p>
      <w:pPr>
        <w:spacing w:before="0" w:after="160" w:line="300" w:lineRule="auto"/>
        <w:jc w:val="both"/>
      </w:pPr>
      <w:r>
        <w:rPr>
          <w:rFonts w:ascii="Times New Roman" w:hAnsi="Times New Roman"/>
          <w:color w:val="000000"/>
          <w:sz w:val="22"/>
        </w:rPr>
        <w:t>Academic literature review systems have evolved through three distinct technological generations: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keepNext/>
        <w:spacing w:before="280" w:after="120"/>
        <w:jc w:val="left"/>
      </w:pPr>
      <w:r>
        <w:rPr>
          <w:rFonts w:ascii="Times New Roman" w:hAnsi="Times New Roman"/>
          <w:b/>
          <w:color w:val="000000"/>
          <w:sz w:val="22"/>
        </w:rPr>
        <w:t>6.2 State-of-the-Art Feature and Performance Comparison Matrix</w:t>
      </w:r>
    </w:p>
    <w:p>
      <w:pPr>
        <w:spacing w:before="0" w:after="160" w:line="300" w:lineRule="auto"/>
        <w:jc w:val="both"/>
      </w:pPr>
      <w:r>
        <w:rPr>
          <w:rFonts w:ascii="Times New Roman" w:hAnsi="Times New Roman"/>
          <w:color w:val="000000"/>
          <w:sz w:val="22"/>
        </w:rPr>
        <w:t>Table 6.1 presents a comprehensive comparative evaluation between ALRA and existing state-of-the-art commercial and academic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Full Academic Report (.docx)</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pPr>
        <w:keepNext/>
        <w:spacing w:before="440" w:after="200"/>
        <w:jc w:val="left"/>
      </w:pPr>
      <w:r>
        <w:rPr>
          <w:rFonts w:ascii="Times New Roman" w:hAnsi="Times New Roman"/>
          <w:b/>
          <w:color w:val="000000"/>
          <w:sz w:val="24"/>
        </w:rPr>
        <w:t>CHAPTER 7: APPLICATIONS AND DEPLOYMENT AREAS</w:t>
      </w:r>
    </w:p>
    <w:p>
      <w:pPr>
        <w:keepNext/>
        <w:spacing w:before="280" w:after="120"/>
        <w:jc w:val="left"/>
      </w:pPr>
      <w:r>
        <w:rPr>
          <w:rFonts w:ascii="Times New Roman" w:hAnsi="Times New Roman"/>
          <w:b/>
          <w:color w:val="000000"/>
          <w:sz w:val="22"/>
        </w:rPr>
        <w:t>7.1 Academic and University Dissertation Workflows</w:t>
      </w:r>
    </w:p>
    <w:p>
      <w:pPr>
        <w:spacing w:before="0" w:after="160" w:line="300" w:lineRule="auto"/>
        <w:jc w:val="both"/>
      </w:pPr>
      <w:r>
        <w:rPr>
          <w:rFonts w:ascii="Times New Roman" w:hAnsi="Times New Roman"/>
          <w:color w:val="000000"/>
          <w:sz w:val="22"/>
        </w:rPr>
        <w:t>ALRA is architected for immediate deployment across several critical academic, scientific, and enterprise domains:</w:t>
        <w:br/>
        <w:t>• University Graduate Studies &amp; Dissertation Research: Accelerating background surveys for B.Tech, M.Tech, and Ph.D. dissertations, ensuring complete bibliographic coverage and zero ungrounded citations.</w:t>
        <w:br/>
        <w:t>• Scientific Journal Peer Review: Providing academic editors and reviewers with automated tools to evaluate prior art novelty, detect overlapping literature, and identify missing citations in submitted manuscripts.</w:t>
        <w:br/>
        <w:t>• Corporate R&amp;D &amp; Patent Landscape Analysis: Conducting rapid competitive intelligence, mapping patent white spaces, and assessing the feasibility of novel intellectual property.</w:t>
        <w:br/>
        <w:t>• Clinical Trial &amp; Biomedical Synthesis: Synthesizing medical literature across PubMed/ArXiv to extract comparative drug effectiveness metrics.</w:t>
      </w:r>
    </w:p>
    <w:p>
      <w:pPr>
        <w:keepNext/>
        <w:spacing w:before="280" w:after="120"/>
        <w:jc w:val="left"/>
      </w:pPr>
      <w:r>
        <w:rPr>
          <w:rFonts w:ascii="Times New Roman" w:hAnsi="Times New Roman"/>
          <w:b/>
          <w:color w:val="000000"/>
          <w:sz w:val="22"/>
        </w:rPr>
        <w:t>7.2 Institutional Deployment Scenarios</w:t>
      </w:r>
    </w:p>
    <w:p>
      <w:pPr>
        <w:spacing w:before="0" w:after="160" w:line="300" w:lineRule="auto"/>
        <w:jc w:val="both"/>
      </w:pPr>
      <w:r>
        <w:rPr>
          <w:rFonts w:ascii="Times New Roman" w:hAnsi="Times New Roman"/>
          <w:color w:val="000000"/>
          <w:sz w:val="22"/>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pPr>
        <w:keepNext/>
        <w:spacing w:before="440" w:after="200"/>
        <w:jc w:val="left"/>
      </w:pPr>
      <w:r>
        <w:rPr>
          <w:rFonts w:ascii="Times New Roman" w:hAnsi="Times New Roman"/>
          <w:b/>
          <w:color w:val="000000"/>
          <w:sz w:val="24"/>
        </w:rPr>
        <w:t>CHAPTER 8: CONCLUSION AND FUTURE SCOPE</w:t>
      </w:r>
    </w:p>
    <w:p>
      <w:pPr>
        <w:keepNext/>
        <w:spacing w:before="280" w:after="120"/>
        <w:jc w:val="left"/>
      </w:pPr>
      <w:r>
        <w:rPr>
          <w:rFonts w:ascii="Times New Roman" w:hAnsi="Times New Roman"/>
          <w:b/>
          <w:color w:val="000000"/>
          <w:sz w:val="22"/>
        </w:rPr>
        <w:t>8.1 Summary of Findings and Project Milestones</w:t>
      </w:r>
    </w:p>
    <w:p>
      <w:pPr>
        <w:spacing w:before="0" w:after="160" w:line="300" w:lineRule="auto"/>
        <w:jc w:val="both"/>
      </w:pPr>
      <w:r>
        <w:rPr>
          <w:rFonts w:ascii="Times New Roman" w:hAnsi="Times New Roman"/>
          <w:color w:val="000000"/>
          <w:sz w:val="22"/>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pPr>
        <w:keepNext/>
        <w:spacing w:before="280" w:after="120"/>
        <w:jc w:val="left"/>
      </w:pPr>
      <w:r>
        <w:rPr>
          <w:rFonts w:ascii="Times New Roman" w:hAnsi="Times New Roman"/>
          <w:b/>
          <w:color w:val="000000"/>
          <w:sz w:val="22"/>
        </w:rPr>
        <w:t>8.2 Future Scope &amp; Emerging Research Directions</w:t>
      </w:r>
    </w:p>
    <w:p>
      <w:pPr>
        <w:spacing w:before="0" w:after="160" w:line="300" w:lineRule="auto"/>
        <w:jc w:val="both"/>
      </w:pPr>
      <w:r>
        <w:rPr>
          <w:rFonts w:ascii="Times New Roman" w:hAnsi="Times New Roman"/>
          <w:color w:val="000000"/>
          <w:sz w:val="22"/>
        </w:rPr>
        <w:t>Future enhancements to ALRA will explore several promising directions:</w:t>
        <w:br/>
        <w:t>1. Direct CrossRef &amp; PubMed Central Integration: Expanding API connectors to index over 150 million biomedical and multidisciplinary papers.</w:t>
        <w:br/>
        <w:t>2. Direct Reference Manager Synchronization: Establishing bidirectional synchronization with Zotero, Mendeley, and Overleaf via REST webhooks.</w:t>
        <w:br/>
        <w:t>3. Multi-Agent Adversarial Peer Review: Simulating adversarial multi-agent review panels to stress-test research methodology robustness prior to formal submission to IEEE / Springer / ACM conferences.</w:t>
      </w:r>
    </w:p>
    <w:p>
      <w:pPr>
        <w:keepNext/>
        <w:spacing w:before="440" w:after="200"/>
        <w:jc w:val="left"/>
      </w:pPr>
      <w:r>
        <w:rPr>
          <w:rFonts w:ascii="Times New Roman" w:hAnsi="Times New Roman"/>
          <w:b/>
          <w:color w:val="000000"/>
          <w:sz w:val="24"/>
        </w:rPr>
        <w:t>CHAPTER 9: GITHUB REPOSITORY AND SHORT CODE EXCERPTS</w:t>
      </w:r>
    </w:p>
    <w:p>
      <w:pPr>
        <w:keepNext/>
        <w:spacing w:before="280" w:after="120"/>
        <w:jc w:val="left"/>
      </w:pPr>
      <w:r>
        <w:rPr>
          <w:rFonts w:ascii="Times New Roman" w:hAnsi="Times New Roman"/>
          <w:b/>
          <w:color w:val="000000"/>
          <w:sz w:val="22"/>
        </w:rPr>
        <w:t>9.1 GitHub Repository and Version Control Setup</w:t>
      </w:r>
    </w:p>
    <w:p>
      <w:pPr>
        <w:spacing w:before="0" w:after="16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80" w:after="120"/>
        <w:jc w:val="left"/>
      </w:pPr>
      <w:r>
        <w:rPr>
          <w:rFonts w:ascii="Times New Roman" w:hAnsi="Times New Roman"/>
          <w:b/>
          <w:color w:val="000000"/>
          <w:sz w:val="22"/>
        </w:rPr>
        <w:t>9.2 Project Directory Architecture</w:t>
      </w:r>
    </w:p>
    <w:p>
      <w:pPr>
        <w:spacing w:before="0" w:after="16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keepNext/>
        <w:spacing w:before="280" w:after="12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T. Brown et al., "Language Models are Few-Shot Learners," Advances in Neural Information Processing Systems (NeurIPS), vol. 33, pp. 1877-1901, 2020.</w:t>
      </w:r>
    </w:p>
    <w:p>
      <w:pPr>
        <w:spacing w:before="40" w:after="120" w:line="276" w:lineRule="auto"/>
        <w:jc w:val="both"/>
      </w:pPr>
      <w:r>
        <w:rPr>
          <w:rFonts w:ascii="Times New Roman" w:hAnsi="Times New Roman"/>
          <w:color w:val="000000"/>
          <w:sz w:val="20"/>
        </w:rPr>
        <w:t>[10] N. Reimers and I. Gurevych, "Sentence-BERT: Sentence Embeddings using Siamese BERT-Networks," Proceedings of EMNLP, pp. 3982-3992, 2019.</w:t>
      </w:r>
    </w:p>
    <w:p>
      <w:pPr>
        <w:spacing w:before="40" w:after="120" w:line="276" w:lineRule="auto"/>
        <w:jc w:val="both"/>
      </w:pPr>
      <w:r>
        <w:rPr>
          <w:rFonts w:ascii="Times New Roman" w:hAnsi="Times New Roman"/>
          <w:color w:val="000000"/>
          <w:sz w:val="20"/>
        </w:rPr>
        <w:t>[11]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