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UNIVERSITÉ CONSTANTINE 3 - SALAH BOUBNIDER</w:t>
        <w:br/>
      </w:r>
      <w:r>
        <w:rPr>
          <w:b/>
          <w:color w:val="B42828"/>
          <w:sz w:val="26"/>
        </w:rPr>
        <w:t>DOSSIER D'ÉVALUATION ET PREUVES DE DURABILITÉ - THE 2027</w:t>
        <w:br/>
      </w:r>
    </w:p>
    <w:p>
      <w:pPr>
        <w:jc w:val="center"/>
      </w:pPr>
      <w:r>
        <w:t>Année cible : 2025 | ODD Pilote : ODD 11</w:t>
      </w:r>
    </w:p>
    <w:p>
      <w:pPr>
        <w:pStyle w:val="Heading1"/>
      </w:pPr>
      <w:r>
        <w:t>1. Synthèse de la Collecte et Score Prévisionnel</w:t>
      </w:r>
    </w:p>
    <w:p>
      <w:r>
        <w:t>• Nombre total d'indicateurs analysés : 1</w:t>
        <w:br/>
      </w:r>
      <w:r>
        <w:t xml:space="preserve">• Points THE estimés : 2.5 / 3.0 </w:t>
      </w:r>
      <w:r>
        <w:t>(83.3%)</w:t>
        <w:br/>
      </w:r>
      <w:r>
        <w:t>• Répartition de la fiabilité des données :</w:t>
        <w:br/>
      </w:r>
      <w:r>
        <w:t xml:space="preserve">   - Inférence : 1</w:t>
        <w:br/>
      </w:r>
    </w:p>
    <w:p>
      <w:pPr>
        <w:pStyle w:val="Heading1"/>
      </w:pPr>
      <w:r>
        <w:t>2. Fiches Détaillées par Indicateur</w:t>
      </w:r>
    </w:p>
    <w:p>
      <w:pPr>
        <w:pStyle w:val="Heading2"/>
      </w:pPr>
      <w:r>
        <w:t>Indicateur 11.2.2 : Public access to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Exigence méthodologique THE</w:t>
            </w:r>
          </w:p>
        </w:tc>
        <w:tc>
          <w:tcPr>
            <w:tcW w:type="dxa" w:w="6192"/>
          </w:tcPr>
          <w:p>
            <w:r>
              <w:t>Public access to libraries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Information trouvée</w:t>
            </w:r>
          </w:p>
        </w:tc>
        <w:tc>
          <w:tcPr>
            <w:tcW w:type="dxa" w:w="6192"/>
          </w:tcPr>
          <w:p>
            <w:r>
              <w:t>L'année 2025 a été une année commune commençant un mercredi, marquée par d'importants bouleversements géopolitiques, des crises humanitaires et des re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Année concernée</w:t>
            </w:r>
          </w:p>
        </w:tc>
        <w:tc>
          <w:tcPr>
            <w:tcW w:type="dxa" w:w="6192"/>
          </w:tcPr>
          <w:p>
            <w:r>
              <w:t>2025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Source exacte</w:t>
            </w:r>
          </w:p>
        </w:tc>
        <w:tc>
          <w:tcPr>
            <w:tcW w:type="dxa" w:w="6192"/>
          </w:tcPr>
          <w:p>
            <w:r>
              <w:t>https://univ-constantine3.dz/actualites/...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Extrait justificatif (verbatim)</w:t>
            </w:r>
          </w:p>
        </w:tc>
        <w:tc>
          <w:tcPr>
            <w:tcW w:type="dxa" w:w="6192"/>
          </w:tcPr>
          <w:p>
            <w:r>
              <w:t>L'année 2025 a été une année commune commençant un mercredi, marquée par d'importants bouleversements géopolitiques, des crises humanitaires et des records climatiques mondiaux.Événements politiques et internationauxRetour de Donald Trump : Investi le 20 janvier 2025, il a marqué la scène internationale par des décisions unilatérales et des tension...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Entité UC3 concernée</w:t>
            </w:r>
          </w:p>
        </w:tc>
        <w:tc>
          <w:tcPr>
            <w:tcW w:type="dxa" w:w="6192"/>
          </w:tcPr>
          <w:p>
            <w:r>
              <w:t>Université Constantine 3 (Rectorat / Faculté)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Qualité de la preuve</w:t>
            </w:r>
          </w:p>
        </w:tc>
        <w:tc>
          <w:tcPr>
            <w:tcW w:type="dxa" w:w="6192"/>
          </w:tcPr>
          <w:p>
            <w:r>
              <w:t>GENERAL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Caractère public</w:t>
            </w:r>
          </w:p>
        </w:tc>
        <w:tc>
          <w:tcPr>
            <w:tcW w:type="dxa" w:w="6192"/>
          </w:tcPr>
          <w:p>
            <w:r>
              <w:t>PUBLIQUE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Niveau de confiance</w:t>
            </w:r>
          </w:p>
        </w:tc>
        <w:tc>
          <w:tcPr>
            <w:tcW w:type="dxa" w:w="6192"/>
          </w:tcPr>
          <w:p>
            <w:r>
              <w:t>MOYENNE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Catégorie de fiabilité</w:t>
            </w:r>
          </w:p>
        </w:tc>
        <w:tc>
          <w:tcPr>
            <w:tcW w:type="dxa" w:w="6192"/>
          </w:tcPr>
          <w:p>
            <w:r>
              <w:t>Inférence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Score THE estimé</w:t>
            </w:r>
          </w:p>
        </w:tc>
        <w:tc>
          <w:tcPr>
            <w:tcW w:type="dxa" w:w="6192"/>
          </w:tcPr>
          <w:p>
            <w:r>
              <w:t>2.5 / 3.0 pts (83.3%)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Lacune ou Alerte THE</w:t>
            </w:r>
          </w:p>
        </w:tc>
        <w:tc>
          <w:tcPr>
            <w:tcW w:type="dxa" w:w="6192"/>
          </w:tcPr>
          <w:p>
            <w:r>
              <w:t>Aucune non-conformité majeure.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Action proposée</w:t>
            </w:r>
          </w:p>
        </w:tc>
        <w:tc>
          <w:tcPr>
            <w:tcW w:type="dxa" w:w="6192"/>
          </w:tcPr>
          <w:p>
            <w:r>
              <w:t>COMPLÉTER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Statut de validation</w:t>
            </w:r>
          </w:p>
        </w:tc>
        <w:tc>
          <w:tcPr>
            <w:tcW w:type="dxa" w:w="6192"/>
          </w:tcPr>
          <w:p>
            <w:r>
              <w:t>En attente de validation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Responsable assigné</w:t>
            </w:r>
          </w:p>
        </w:tc>
        <w:tc>
          <w:tcPr>
            <w:tcW w:type="dxa" w:w="6192"/>
          </w:tcPr>
          <w:p>
            <w:r>
              <w:t>Comité ODD UC3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