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UNIVERSITÉ CONSTANTINE 3 - SALAH BOUBNIDER</w:t>
        <w:br/>
      </w:r>
      <w:r>
        <w:rPr>
          <w:b/>
          <w:color w:val="B42828"/>
          <w:sz w:val="26"/>
        </w:rPr>
        <w:t>DOSSIER D'ÉVALUATION ET PREUVES DE DURABILITÉ - THE 2027</w:t>
        <w:br/>
      </w:r>
    </w:p>
    <w:p>
      <w:pPr>
        <w:jc w:val="center"/>
      </w:pPr>
      <w:r>
        <w:t>Année cible : 2025 | ODD Pilote : ODD 3</w:t>
      </w:r>
    </w:p>
    <w:p>
      <w:pPr>
        <w:pStyle w:val="Heading1"/>
      </w:pPr>
      <w:r>
        <w:t>1. Synthèse de la Collecte et Score Prévisionnel</w:t>
      </w:r>
    </w:p>
    <w:p>
      <w:r>
        <w:t>• Nombre total d'indicateurs analysés : 1</w:t>
        <w:br/>
      </w:r>
      <w:r>
        <w:t xml:space="preserve">• Points THE estimés : 2.0 / 3.0 </w:t>
      </w:r>
      <w:r>
        <w:t>(66.7%)</w:t>
        <w:br/>
      </w:r>
      <w:r>
        <w:t>• Répartition de la fiabilité des données :</w:t>
        <w:br/>
      </w:r>
      <w:r>
        <w:t xml:space="preserve">   - Information à confirmer : 1</w:t>
        <w:br/>
      </w:r>
    </w:p>
    <w:p>
      <w:pPr>
        <w:pStyle w:val="Heading1"/>
      </w:pPr>
      <w:r>
        <w:t>2. Fiches Détaillées par Indicateur</w:t>
      </w:r>
    </w:p>
    <w:p>
      <w:pPr>
        <w:pStyle w:val="Heading2"/>
      </w:pPr>
      <w:r>
        <w:t>Indicateur 3.3.2 : Health outreach programmes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Exigence méthodologique THE</w:t>
            </w:r>
          </w:p>
        </w:tc>
        <w:tc>
          <w:tcPr>
            <w:tcW w:type="dxa" w:w="6192"/>
          </w:tcPr>
          <w:p>
            <w:r>
              <w:t>Health outreach programmes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Information trouvée</w:t>
            </w:r>
          </w:p>
        </w:tc>
        <w:tc>
          <w:tcPr>
            <w:tcW w:type="dxa" w:w="6192"/>
          </w:tcPr>
          <w:p>
            <w:r>
              <w:t>2023/2024 Academic Year Report2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Année concernée</w:t>
            </w:r>
          </w:p>
        </w:tc>
        <w:tc>
          <w:tcPr>
            <w:tcW w:type="dxa" w:w="6192"/>
          </w:tcPr>
          <w:p>
            <w:r>
              <w:t>2023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Source exacte</w:t>
            </w:r>
          </w:p>
        </w:tc>
        <w:tc>
          <w:tcPr>
            <w:tcW w:type="dxa" w:w="6192"/>
          </w:tcPr>
          <w:p>
            <w:r>
              <w:t>UC3_SDG1_Report_2024.docx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Extrait justificatif (verbatim)</w:t>
            </w:r>
          </w:p>
        </w:tc>
        <w:tc>
          <w:tcPr>
            <w:tcW w:type="dxa" w:w="6192"/>
          </w:tcPr>
          <w:p>
            <w:r>
              <w:t>2023/2024 Academic Year Report2</w:t>
              <w:br/>
              <w:t xml:space="preserve">                                                         SDG 1 – No Poverty</w:t>
              <w:br/>
              <w:t>Université Constantine 3 Salah Boubnider (UC3SB)</w:t>
              <w:br/>
              <w:t>Official SDG Report – 2024</w:t>
              <w:br/>
              <w:t>UC3SB is strongly committed to ensuring equal access to education and essential services for all students, regardless of financial background. The university guarante...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Entité UC3 concernée</w:t>
            </w:r>
          </w:p>
        </w:tc>
        <w:tc>
          <w:tcPr>
            <w:tcW w:type="dxa" w:w="6192"/>
          </w:tcPr>
          <w:p>
            <w:r>
              <w:t>Université Constantine 3 (Rectorat / Faculté)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Qualité de la preuve</w:t>
            </w:r>
          </w:p>
        </w:tc>
        <w:tc>
          <w:tcPr>
            <w:tcW w:type="dxa" w:w="6192"/>
          </w:tcPr>
          <w:p>
            <w:r>
              <w:t>SPECIFIC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Caractère public</w:t>
            </w:r>
          </w:p>
        </w:tc>
        <w:tc>
          <w:tcPr>
            <w:tcW w:type="dxa" w:w="6192"/>
          </w:tcPr>
          <w:p>
            <w:r>
              <w:t>INTERNE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Niveau de confiance</w:t>
            </w:r>
          </w:p>
        </w:tc>
        <w:tc>
          <w:tcPr>
            <w:tcW w:type="dxa" w:w="6192"/>
          </w:tcPr>
          <w:p>
            <w:r>
              <w:t>ÉLEVÉE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Catégorie de fiabilité</w:t>
            </w:r>
          </w:p>
        </w:tc>
        <w:tc>
          <w:tcPr>
            <w:tcW w:type="dxa" w:w="6192"/>
          </w:tcPr>
          <w:p>
            <w:r>
              <w:t>Information à confirmer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Score THE estimé</w:t>
            </w:r>
          </w:p>
        </w:tc>
        <w:tc>
          <w:tcPr>
            <w:tcW w:type="dxa" w:w="6192"/>
          </w:tcPr>
          <w:p>
            <w:r>
              <w:t>2.0 / 3.0 pts (66.7%)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Lacune ou Alerte THE</w:t>
            </w:r>
          </w:p>
        </w:tc>
        <w:tc>
          <w:tcPr>
            <w:tcW w:type="dxa" w:w="6192"/>
          </w:tcPr>
          <w:p>
            <w:r>
              <w:t>ATTENTION : Preuve issue d'un fichier local ou interne. Selon la méthodologie THE 2027 (page 9), tout document soumis sous forme de pièce jointe est automatiquement noté 'Non public' (0 point). | ANOMALIE DATE : La donnée identifiée mentionne l'année 2023. Le référentiel THE 2027 exige impérativement des données de l'année 2025.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Action proposée</w:t>
            </w:r>
          </w:p>
        </w:tc>
        <w:tc>
          <w:tcPr>
            <w:tcW w:type="dxa" w:w="6192"/>
          </w:tcPr>
          <w:p>
            <w:r>
              <w:t>PUBLIER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Statut de validation</w:t>
            </w:r>
          </w:p>
        </w:tc>
        <w:tc>
          <w:tcPr>
            <w:tcW w:type="dxa" w:w="6192"/>
          </w:tcPr>
          <w:p>
            <w:r>
              <w:t>En attente de validation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Responsable assigné</w:t>
            </w:r>
          </w:p>
        </w:tc>
        <w:tc>
          <w:tcPr>
            <w:tcW w:type="dxa" w:w="6192"/>
          </w:tcPr>
          <w:p>
            <w:r>
              <w:t>Comité ODD UC3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