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UNIVERSITÉ CONSTANTINE 3 - SALAH BOUBNIDER</w:t>
        <w:br/>
      </w:r>
      <w:r>
        <w:rPr>
          <w:b/>
          <w:color w:val="B42828"/>
          <w:sz w:val="26"/>
        </w:rPr>
        <w:t>DOSSIER D'ÉVALUATION ET PREUVES DE DURABILITÉ - THE 2027</w:t>
        <w:br/>
      </w:r>
    </w:p>
    <w:p>
      <w:pPr>
        <w:jc w:val="center"/>
      </w:pPr>
      <w:r>
        <w:t>Année cible : 2025 | ODD Pilote : ODD 3</w:t>
      </w:r>
    </w:p>
    <w:p>
      <w:pPr>
        <w:pStyle w:val="Heading1"/>
      </w:pPr>
      <w:r>
        <w:t>1. Synthèse de la Collecte et Score Prévisionnel</w:t>
      </w:r>
    </w:p>
    <w:p>
      <w:r>
        <w:t>• Nombre total d'indicateurs analysés : 1</w:t>
        <w:br/>
      </w:r>
      <w:r>
        <w:t xml:space="preserve">• Points THE estimés : 2.0 / 3.0 </w:t>
      </w:r>
      <w:r>
        <w:t>(66.7%)</w:t>
        <w:br/>
      </w:r>
      <w:r>
        <w:t>• Répartition de la fiabilité des données :</w:t>
        <w:br/>
      </w:r>
      <w:r>
        <w:t xml:space="preserve">   - Information à confirmer : 1</w:t>
        <w:br/>
      </w:r>
    </w:p>
    <w:p>
      <w:pPr>
        <w:pStyle w:val="Heading1"/>
      </w:pPr>
      <w:r>
        <w:t>2. Fiches Détaillées par Indicateur</w:t>
      </w:r>
    </w:p>
    <w:p>
      <w:pPr>
        <w:pStyle w:val="Heading2"/>
      </w:pPr>
      <w:r>
        <w:t>Indicateur 3.3.3 : Shared sports facilities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Exigence méthodologique THE</w:t>
            </w:r>
          </w:p>
        </w:tc>
        <w:tc>
          <w:tcPr>
            <w:tcW w:type="dxa" w:w="6192"/>
          </w:tcPr>
          <w:p>
            <w:r>
              <w:t>Shared sports facilities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Information trouvée</w:t>
            </w:r>
          </w:p>
        </w:tc>
        <w:tc>
          <w:tcPr>
            <w:tcW w:type="dxa" w:w="6192"/>
          </w:tcPr>
          <w:p>
            <w:r>
              <w:t>2023/2024 Academic Year Report2023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Année concernée</w:t>
            </w:r>
          </w:p>
        </w:tc>
        <w:tc>
          <w:tcPr>
            <w:tcW w:type="dxa" w:w="6192"/>
          </w:tcPr>
          <w:p>
            <w:r>
              <w:t>2023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Source exacte</w:t>
            </w:r>
          </w:p>
        </w:tc>
        <w:tc>
          <w:tcPr>
            <w:tcW w:type="dxa" w:w="6192"/>
          </w:tcPr>
          <w:p>
            <w:r>
              <w:t>UC3SB_SDG3_Report_2024_EN.docx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Extrait justificatif (verbatim)</w:t>
            </w:r>
          </w:p>
        </w:tc>
        <w:tc>
          <w:tcPr>
            <w:tcW w:type="dxa" w:w="6192"/>
          </w:tcPr>
          <w:p>
            <w:r>
              <w:t>2023/2024 Academic Year Report2023</w:t>
              <w:br/>
              <w:t>SDG 3: Good health and well-being</w:t>
              <w:br/>
              <w:t>Enabling healthy lives for all</w:t>
              <w:br/>
              <w:t>and promote well-being for all at all ages</w:t>
              <w:br/>
              <w:t>Good health and well-being</w:t>
              <w:br/>
              <w:t>Enabling healthy lives for all</w:t>
              <w:br/>
              <w:t>and promote well-being for all at all ages</w:t>
              <w:br/>
              <w:t xml:space="preserve">Introduction </w:t>
              <w:br/>
              <w:t>Université Constantine 3 Salah Boubnider is one of Algeria’s leading national hubs for medic...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Entité UC3 concernée</w:t>
            </w:r>
          </w:p>
        </w:tc>
        <w:tc>
          <w:tcPr>
            <w:tcW w:type="dxa" w:w="6192"/>
          </w:tcPr>
          <w:p>
            <w:r>
              <w:t>Université Constantine 3 (Rectorat / Faculté)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Qualité de la preuve</w:t>
            </w:r>
          </w:p>
        </w:tc>
        <w:tc>
          <w:tcPr>
            <w:tcW w:type="dxa" w:w="6192"/>
          </w:tcPr>
          <w:p>
            <w:r>
              <w:t>SPECIFIC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Caractère public</w:t>
            </w:r>
          </w:p>
        </w:tc>
        <w:tc>
          <w:tcPr>
            <w:tcW w:type="dxa" w:w="6192"/>
          </w:tcPr>
          <w:p>
            <w:r>
              <w:t>INTERNE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Niveau de confiance</w:t>
            </w:r>
          </w:p>
        </w:tc>
        <w:tc>
          <w:tcPr>
            <w:tcW w:type="dxa" w:w="6192"/>
          </w:tcPr>
          <w:p>
            <w:r>
              <w:t>ÉLEVÉE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Catégorie de fiabilité</w:t>
            </w:r>
          </w:p>
        </w:tc>
        <w:tc>
          <w:tcPr>
            <w:tcW w:type="dxa" w:w="6192"/>
          </w:tcPr>
          <w:p>
            <w:r>
              <w:t>Information à confirmer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Score THE estimé</w:t>
            </w:r>
          </w:p>
        </w:tc>
        <w:tc>
          <w:tcPr>
            <w:tcW w:type="dxa" w:w="6192"/>
          </w:tcPr>
          <w:p>
            <w:r>
              <w:t>2.0 / 3.0 pts (66.7%)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Lacune ou Alerte THE</w:t>
            </w:r>
          </w:p>
        </w:tc>
        <w:tc>
          <w:tcPr>
            <w:tcW w:type="dxa" w:w="6192"/>
          </w:tcPr>
          <w:p>
            <w:r>
              <w:t>ATTENTION : Preuve issue d'un fichier local ou interne. Selon la méthodologie THE 2027 (page 9), tout document soumis sous forme de pièce jointe est automatiquement noté 'Non public' (0 point). | ANOMALIE DATE : La donnée identifiée mentionne l'année 2023. Le référentiel THE 2027 exige impérativement des données de l'année 2025.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Action proposée</w:t>
            </w:r>
          </w:p>
        </w:tc>
        <w:tc>
          <w:tcPr>
            <w:tcW w:type="dxa" w:w="6192"/>
          </w:tcPr>
          <w:p>
            <w:r>
              <w:t>PUBLIER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Statut de validation</w:t>
            </w:r>
          </w:p>
        </w:tc>
        <w:tc>
          <w:tcPr>
            <w:tcW w:type="dxa" w:w="6192"/>
          </w:tcPr>
          <w:p>
            <w:r>
              <w:t>En attente de validation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Responsable assigné</w:t>
            </w:r>
          </w:p>
        </w:tc>
        <w:tc>
          <w:tcPr>
            <w:tcW w:type="dxa" w:w="6192"/>
          </w:tcPr>
          <w:p>
            <w:r>
              <w:t>Comité ODD UC3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