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UNIVERSITÉ CONSTANTINE 3 - SALAH BOUBNIDER</w:t>
        <w:br/>
      </w:r>
      <w:r>
        <w:rPr>
          <w:b/>
          <w:color w:val="B42828"/>
          <w:sz w:val="26"/>
        </w:rPr>
        <w:t>DOSSIER D'ÉVALUATION ET PREUVES DE DURABILITÉ - THE 2027</w:t>
        <w:br/>
      </w:r>
    </w:p>
    <w:p>
      <w:pPr>
        <w:jc w:val="center"/>
      </w:pPr>
      <w:r>
        <w:t>Année cible : 2025 | ODD Pilote : SDG 17: Partnerships for the Goals</w:t>
      </w:r>
    </w:p>
    <w:p>
      <w:pPr>
        <w:pStyle w:val="Heading1"/>
      </w:pPr>
      <w:r>
        <w:t>1. Synthèse de la Collecte et Score Prévisionnel</w:t>
      </w:r>
    </w:p>
    <w:p>
      <w:r>
        <w:t>• Nombre total d'indicateurs analysés : 28</w:t>
        <w:br/>
      </w:r>
      <w:r>
        <w:t xml:space="preserve">• Points THE estimés : 64.5 / 85.0 </w:t>
      </w:r>
      <w:r>
        <w:t>(75.88%)</w:t>
        <w:br/>
      </w:r>
      <w:r>
        <w:t>• Répartition de la fiabilité des données :</w:t>
        <w:br/>
      </w:r>
      <w:r>
        <w:t xml:space="preserve">   - Information vérifiée : 9</w:t>
        <w:br/>
      </w:r>
      <w:r>
        <w:t xml:space="preserve">   - Inférence : 3</w:t>
        <w:br/>
      </w:r>
      <w:r>
        <w:t xml:space="preserve">   - Information à confirmer : 16</w:t>
        <w:br/>
      </w:r>
      <w:r>
        <w:t xml:space="preserve">   - Absence de donnée : 0</w:t>
        <w:br/>
      </w:r>
    </w:p>
    <w:p>
      <w:pPr>
        <w:pStyle w:val="Heading1"/>
      </w:pPr>
      <w:r>
        <w:t>2. Fiches Détaillées par Indicateur</w:t>
      </w:r>
    </w:p>
    <w:p>
      <w:pPr>
        <w:pStyle w:val="Heading2"/>
      </w:pPr>
      <w:r>
        <w:t>Indicateur 17.1.1 : Proportion of output co-authored with low or lower-middle income countries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Proportion of output co-authored with low or lower-middle income countries</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GENERAL</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Inférence</w:t>
            </w:r>
          </w:p>
        </w:tc>
      </w:tr>
      <w:tr>
        <w:tc>
          <w:tcPr>
            <w:tcW w:type="dxa" w:w="3168"/>
          </w:tcPr>
          <w:p>
            <w:r>
              <w:rPr>
                <w:b/>
              </w:rPr>
              <w:t>Score THE estimé</w:t>
            </w:r>
          </w:p>
        </w:tc>
        <w:tc>
          <w:tcPr>
            <w:tcW w:type="dxa" w:w="6192"/>
          </w:tcPr>
          <w:p>
            <w:r>
              <w:t>1.5 / 3.0 pts (50.0%)</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COMPLÉTER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17.1.2 : Partnerships for the goals: publications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Partnerships for the goals: publications</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GENERAL</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Inférence</w:t>
            </w:r>
          </w:p>
        </w:tc>
      </w:tr>
      <w:tr>
        <w:tc>
          <w:tcPr>
            <w:tcW w:type="dxa" w:w="3168"/>
          </w:tcPr>
          <w:p>
            <w:r>
              <w:rPr>
                <w:b/>
              </w:rPr>
              <w:t>Score THE estimé</w:t>
            </w:r>
          </w:p>
        </w:tc>
        <w:tc>
          <w:tcPr>
            <w:tcW w:type="dxa" w:w="6192"/>
          </w:tcPr>
          <w:p>
            <w:r>
              <w:t>1.5 / 3.0 pts (50.0%)</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COMPLÉTER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17.2.1 : Relationships with regional NGOs and government for SDG policy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Direct involvement in, or input into, national government or regional NGO SDG policy development.</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4.0 / 4.0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17.2.2 : Cross sectoral dialogue about SDGs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Initiate and participate in cross-sectoral dialogue about the SDGs, e.g. conferences involving government or NGOs.</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17.2.3 : International collaboration data gathering for SDG</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Participate in international collaboration on gathering or measuring data for the SDGs.</w:t>
            </w:r>
          </w:p>
        </w:tc>
      </w:tr>
      <w:tr>
        <w:tc>
          <w:tcPr>
            <w:tcW w:type="dxa" w:w="3168"/>
          </w:tcPr>
          <w:p>
            <w:r>
              <w:rPr>
                <w:b/>
              </w:rPr>
              <w:t>Information trouvée</w:t>
            </w:r>
          </w:p>
        </w:tc>
        <w:tc>
          <w:tcPr>
            <w:tcW w:type="dxa" w:w="6192"/>
          </w:tcPr>
          <w:p>
            <w:r>
              <w:t>Université Salah Boubnider Constantine 3 - Page Officielle.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https://www.facebook.com/univconstantine3.officiel/posts/pfbid025983726482</w:t>
            </w:r>
          </w:p>
        </w:tc>
      </w:tr>
      <w:tr>
        <w:tc>
          <w:tcPr>
            <w:tcW w:type="dxa" w:w="3168"/>
          </w:tcPr>
          <w:p>
            <w:r>
              <w:rPr>
                <w:b/>
              </w:rPr>
              <w:t>Extrait justificatif (verbatim)</w:t>
            </w:r>
          </w:p>
        </w:tc>
        <w:tc>
          <w:tcPr>
            <w:tcW w:type="dxa" w:w="6192"/>
          </w:tcPr>
          <w:p>
            <w:r>
              <w:t>« Université Salah Boubnider Constantine 3 - Page Officielle.</w:t>
              <w:br/>
              <w:t xml:space="preserve">Grande journée de volontariat et d'action environnementale sur le campus d'Ali Mendjeli ! </w:t>
              <w:br/>
              <w:t xml:space="preserve">En ce 21 mars 2025, plus de 300 étudiants de l'UC3, en collaboration avec l'association écologique 'Nass El Khir Constantine' et le Croissant Rouge Algérien, ont mené une vaste opération de reboisement et de tri sélectif des déchets plastiques. </w:t>
              <w:br/>
              <w:t>Des... »</w:t>
            </w:r>
          </w:p>
        </w:tc>
      </w:tr>
      <w:tr>
        <w:tc>
          <w:tcPr>
            <w:tcW w:type="dxa" w:w="3168"/>
          </w:tcPr>
          <w:p>
            <w:r>
              <w:rPr>
                <w:b/>
              </w:rPr>
              <w:t>Entité UC3 concernée</w:t>
            </w:r>
          </w:p>
        </w:tc>
        <w:tc>
          <w:tcPr>
            <w:tcW w:type="dxa" w:w="6192"/>
          </w:tcPr>
          <w:p>
            <w:r>
              <w:t>Faculté d'Architecture et Clubs Scientifiques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NOTE FACEBOOK : Les publications Facebook peuvent être éphémères ou nécessiter une connexion. THE exige une preuve directement visible et pérenne.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17.2.4 : Collaboration for SDG best practice</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Through international collaboration and research, review comparative approaches and develop international best practice on tackling the SDGs.</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17.2.5 : Collaboration with NGOs for SDGs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Collaborate with NGOs to tackle the SDGs through: student volunteering programmes, research programmes, or development of educational resources.</w:t>
            </w:r>
          </w:p>
        </w:tc>
      </w:tr>
      <w:tr>
        <w:tc>
          <w:tcPr>
            <w:tcW w:type="dxa" w:w="3168"/>
          </w:tcPr>
          <w:p>
            <w:r>
              <w:rPr>
                <w:b/>
              </w:rPr>
              <w:t>Information trouvée</w:t>
            </w:r>
          </w:p>
        </w:tc>
        <w:tc>
          <w:tcPr>
            <w:tcW w:type="dxa" w:w="6192"/>
          </w:tcPr>
          <w:p>
            <w:r>
              <w:t>Université Salah Boubnider Constantine 3 - Page Officielle.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https://www.facebook.com/univconstantine3.officiel/posts/pfbid025983726482</w:t>
            </w:r>
          </w:p>
        </w:tc>
      </w:tr>
      <w:tr>
        <w:tc>
          <w:tcPr>
            <w:tcW w:type="dxa" w:w="3168"/>
          </w:tcPr>
          <w:p>
            <w:r>
              <w:rPr>
                <w:b/>
              </w:rPr>
              <w:t>Extrait justificatif (verbatim)</w:t>
            </w:r>
          </w:p>
        </w:tc>
        <w:tc>
          <w:tcPr>
            <w:tcW w:type="dxa" w:w="6192"/>
          </w:tcPr>
          <w:p>
            <w:r>
              <w:t>« Université Salah Boubnider Constantine 3 - Page Officielle.</w:t>
              <w:br/>
              <w:t xml:space="preserve">Grande journée de volontariat et d'action environnementale sur le campus d'Ali Mendjeli ! </w:t>
              <w:br/>
              <w:t xml:space="preserve">En ce 21 mars 2025, plus de 300 étudiants de l'UC3, en collaboration avec l'association écologique 'Nass El Khir Constantine' et le Croissant Rouge Algérien, ont mené une vaste opération de reboisement et de tri sélectif des déchets plastiques. </w:t>
              <w:br/>
              <w:t>Des... »</w:t>
            </w:r>
          </w:p>
        </w:tc>
      </w:tr>
      <w:tr>
        <w:tc>
          <w:tcPr>
            <w:tcW w:type="dxa" w:w="3168"/>
          </w:tcPr>
          <w:p>
            <w:r>
              <w:rPr>
                <w:b/>
              </w:rPr>
              <w:t>Entité UC3 concernée</w:t>
            </w:r>
          </w:p>
        </w:tc>
        <w:tc>
          <w:tcPr>
            <w:tcW w:type="dxa" w:w="6192"/>
          </w:tcPr>
          <w:p>
            <w:r>
              <w:t>Faculté d'Architecture et Clubs Scientifiques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NOTE FACEBOOK : Les publications Facebook peuvent être éphémères ou nécessiter une connexion. THE exige une preuve directement visible et pérenne.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 : Publication of SDG reports - SDG 1 No Poverty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 No Poverty</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17.3.2 : Publication of SDG reports - SDG 2 Zero Hunger</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2 Zero Hunger</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17.3.3 : Publication of SDG reports - SDG 3 Good Health</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3 Good Health</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17.3.4 : Publication of SDG reports - SDG 4 Quality Education</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4 Quality Education</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17.3.5 : Publication of SDG reports - SDG 5 Gender Equality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5 Gender Equality</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17.3.6 : Publication of SDG reports - SDG 6 Clean Water</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6 Clean Water</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17.3.7 : Publication of SDG reports - SDG 7 Clean Energy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7 Clean Energy</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17.3.8 : Publication of SDG reports - SDG 8 Decent Work</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8 Decent Work</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17.3.9 : Publication of SDG reports - SDG 9 Industry &amp; Innovation</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9 Industry &amp; Innovation</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17.3.10 : Publication of SDG reports - SDG 10 Reduced Inequalities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10 Reduced Inequalities</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17.3.11 : Publication of SDG reports - SDG 11 Sustainable Cities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11 Sustainable Cities</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17.3.12 : Publication of SDG reports - SDG 12 Responsible Consumption</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12 Responsible Consumption</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17.3.13 : Publication of SDG reports - SDG 13 Climate Action</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13 Climate Action</w:t>
            </w:r>
          </w:p>
        </w:tc>
      </w:tr>
      <w:tr>
        <w:tc>
          <w:tcPr>
            <w:tcW w:type="dxa" w:w="3168"/>
          </w:tcPr>
          <w:p>
            <w:r>
              <w:rPr>
                <w:b/>
              </w:rPr>
              <w:t>Information trouvée</w:t>
            </w:r>
          </w:p>
        </w:tc>
        <w:tc>
          <w:tcPr>
            <w:tcW w:type="dxa" w:w="6192"/>
          </w:tcPr>
          <w:p>
            <w:r>
              <w:t>Université Salah Boubnider Constantine 3 - Page Officielle.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https://www.facebook.com/univconstantine3.officiel/posts/pfbid025983726482</w:t>
            </w:r>
          </w:p>
        </w:tc>
      </w:tr>
      <w:tr>
        <w:tc>
          <w:tcPr>
            <w:tcW w:type="dxa" w:w="3168"/>
          </w:tcPr>
          <w:p>
            <w:r>
              <w:rPr>
                <w:b/>
              </w:rPr>
              <w:t>Extrait justificatif (verbatim)</w:t>
            </w:r>
          </w:p>
        </w:tc>
        <w:tc>
          <w:tcPr>
            <w:tcW w:type="dxa" w:w="6192"/>
          </w:tcPr>
          <w:p>
            <w:r>
              <w:t>« Université Salah Boubnider Constantine 3 - Page Officielle.</w:t>
              <w:br/>
              <w:t xml:space="preserve">Grande journée de volontariat et d'action environnementale sur le campus d'Ali Mendjeli ! </w:t>
              <w:br/>
              <w:t xml:space="preserve">En ce 21 mars 2025, plus de 300 étudiants de l'UC3, en collaboration avec l'association écologique 'Nass El Khir Constantine' et le Croissant Rouge Algérien, ont mené une vaste opération de reboisement et de tri sélectif des déchets plastiques. </w:t>
              <w:br/>
              <w:t>Des... »</w:t>
            </w:r>
          </w:p>
        </w:tc>
      </w:tr>
      <w:tr>
        <w:tc>
          <w:tcPr>
            <w:tcW w:type="dxa" w:w="3168"/>
          </w:tcPr>
          <w:p>
            <w:r>
              <w:rPr>
                <w:b/>
              </w:rPr>
              <w:t>Entité UC3 concernée</w:t>
            </w:r>
          </w:p>
        </w:tc>
        <w:tc>
          <w:tcPr>
            <w:tcW w:type="dxa" w:w="6192"/>
          </w:tcPr>
          <w:p>
            <w:r>
              <w:t>Faculté d'Architecture et Clubs Scientifiques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NOTE FACEBOOK : Les publications Facebook peuvent être éphémères ou nécessiter une connexion. THE exige une preuve directement visible et pérenne.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17.3.14 : Publication of SDG reports - SDG 14 Life Below Water</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14 Life Below Water</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17.3.15 : Publication of SDG reports - SDG 15 Life On Land</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15 Life On Land</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17.3.16 : Publication of SDG reports - SDG 16 Peace &amp; Justice</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16 Peace &amp; Justice</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17.3.17 : Publication of SDG reports - SDG 17 Partnerships</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Publication of SDG reports - SDG 17 Partnerships</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Information à confirmer</w:t>
            </w:r>
          </w:p>
        </w:tc>
      </w:tr>
      <w:tr>
        <w:tc>
          <w:tcPr>
            <w:tcW w:type="dxa" w:w="3168"/>
          </w:tcPr>
          <w:p>
            <w:r>
              <w:rPr>
                <w:b/>
              </w:rPr>
              <w:t>Score THE estimé</w:t>
            </w:r>
          </w:p>
        </w:tc>
        <w:tc>
          <w:tcPr>
            <w:tcW w:type="dxa" w:w="6192"/>
          </w:tcPr>
          <w:p>
            <w:r>
              <w:t>2.0 / 3.0 pts (66.7%)</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PUBLIER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17.4.1 : Education for SDGs commitment to meaningful education</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Commitment to meaningful education around the SDGs across the university, relevant and applicable to all students.</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17.4.2 : Education for SDGs: specific courses on sustainability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Dedicated courses (full degrees, or electives) that address sustainability and the SDGs.</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17.4.3 : Education for SDGs in the wider community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Dedicated outreach educational activities for the wider community (alumni, local residents, displaced people).</w:t>
            </w:r>
          </w:p>
        </w:tc>
      </w:tr>
      <w:tr>
        <w:tc>
          <w:tcPr>
            <w:tcW w:type="dxa" w:w="3168"/>
          </w:tcPr>
          <w:p>
            <w:r>
              <w:rPr>
                <w:b/>
              </w:rPr>
              <w:t>Information trouvée</w:t>
            </w:r>
          </w:p>
        </w:tc>
        <w:tc>
          <w:tcPr>
            <w:tcW w:type="dxa" w:w="6192"/>
          </w:tcPr>
          <w:p>
            <w:r>
              <w:t>RÉPUBLIQUE ALGÉRIENNE DÉMOCRATIQUE ET POPULAIRE</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C:/Archives_Rectorat/Conventions_2025/Convention_Environnement_Wilaya_Constantine_2025.pdf</w:t>
            </w:r>
          </w:p>
        </w:tc>
      </w:tr>
      <w:tr>
        <w:tc>
          <w:tcPr>
            <w:tcW w:type="dxa" w:w="3168"/>
          </w:tcPr>
          <w:p>
            <w:r>
              <w:rPr>
                <w:b/>
              </w:rPr>
              <w:t>Extrait justificatif (verbatim)</w:t>
            </w:r>
          </w:p>
        </w:tc>
        <w:tc>
          <w:tcPr>
            <w:tcW w:type="dxa" w:w="6192"/>
          </w:tcPr>
          <w:p>
            <w:r>
              <w:t>« RÉPUBLIQUE ALGÉRIENNE DÉMOCRATIQUE ET POPULAIRE</w:t>
              <w:br/>
              <w:t>Université Constantine 3 Salah Boubnider</w:t>
              <w:br/>
              <w:t>Convention de Coopération Institutionnelle relative aux Politiques de Développement Durable (ODD).</w:t>
              <w:br/>
              <w:t>Signée le 10 février 2025 entre le Recteur de l'Université Constantine 3 et la Direction de l'Environnement de la Wilaya de Constantine.</w:t>
              <w:br/>
              <w:t>Objet : Implication directe des experts et enseignants-chercheurs de l'UC3 ... »</w:t>
            </w:r>
          </w:p>
        </w:tc>
      </w:tr>
      <w:tr>
        <w:tc>
          <w:tcPr>
            <w:tcW w:type="dxa" w:w="3168"/>
          </w:tcPr>
          <w:p>
            <w:r>
              <w:rPr>
                <w:b/>
              </w:rPr>
              <w:t>Entité UC3 concernée</w:t>
            </w:r>
          </w:p>
        </w:tc>
        <w:tc>
          <w:tcPr>
            <w:tcW w:type="dxa" w:w="6192"/>
          </w:tcPr>
          <w:p>
            <w:r>
              <w:t>Rectorat UC3</w:t>
            </w:r>
          </w:p>
        </w:tc>
      </w:tr>
      <w:tr>
        <w:tc>
          <w:tcPr>
            <w:tcW w:type="dxa" w:w="3168"/>
          </w:tcPr>
          <w:p>
            <w:r>
              <w:rPr>
                <w:b/>
              </w:rPr>
              <w:t>Qualité de la preuve</w:t>
            </w:r>
          </w:p>
        </w:tc>
        <w:tc>
          <w:tcPr>
            <w:tcW w:type="dxa" w:w="6192"/>
          </w:tcPr>
          <w:p>
            <w:r>
              <w:t>GENERAL</w:t>
            </w:r>
          </w:p>
        </w:tc>
      </w:tr>
      <w:tr>
        <w:tc>
          <w:tcPr>
            <w:tcW w:type="dxa" w:w="3168"/>
          </w:tcPr>
          <w:p>
            <w:r>
              <w:rPr>
                <w:b/>
              </w:rPr>
              <w:t>Caractère public</w:t>
            </w:r>
          </w:p>
        </w:tc>
        <w:tc>
          <w:tcPr>
            <w:tcW w:type="dxa" w:w="6192"/>
          </w:tcPr>
          <w:p>
            <w:r>
              <w:t>INTERNE</w:t>
            </w:r>
          </w:p>
        </w:tc>
      </w:tr>
      <w:tr>
        <w:tc>
          <w:tcPr>
            <w:tcW w:type="dxa" w:w="3168"/>
          </w:tcPr>
          <w:p>
            <w:r>
              <w:rPr>
                <w:b/>
              </w:rPr>
              <w:t>Niveau de confiance</w:t>
            </w:r>
          </w:p>
        </w:tc>
        <w:tc>
          <w:tcPr>
            <w:tcW w:type="dxa" w:w="6192"/>
          </w:tcPr>
          <w:p>
            <w:r>
              <w:t>MOYENNE</w:t>
            </w:r>
          </w:p>
        </w:tc>
      </w:tr>
      <w:tr>
        <w:tc>
          <w:tcPr>
            <w:tcW w:type="dxa" w:w="3168"/>
          </w:tcPr>
          <w:p>
            <w:r>
              <w:rPr>
                <w:b/>
              </w:rPr>
              <w:t>Catégorie de fiabilité</w:t>
            </w:r>
          </w:p>
        </w:tc>
        <w:tc>
          <w:tcPr>
            <w:tcW w:type="dxa" w:w="6192"/>
          </w:tcPr>
          <w:p>
            <w:r>
              <w:t>Inférence</w:t>
            </w:r>
          </w:p>
        </w:tc>
      </w:tr>
      <w:tr>
        <w:tc>
          <w:tcPr>
            <w:tcW w:type="dxa" w:w="3168"/>
          </w:tcPr>
          <w:p>
            <w:r>
              <w:rPr>
                <w:b/>
              </w:rPr>
              <w:t>Score THE estimé</w:t>
            </w:r>
          </w:p>
        </w:tc>
        <w:tc>
          <w:tcPr>
            <w:tcW w:type="dxa" w:w="6192"/>
          </w:tcPr>
          <w:p>
            <w:r>
              <w:t>1.5 / 3.0 pts (50.0%)</w:t>
            </w:r>
          </w:p>
        </w:tc>
      </w:tr>
      <w:tr>
        <w:tc>
          <w:tcPr>
            <w:tcW w:type="dxa" w:w="3168"/>
          </w:tcPr>
          <w:p>
            <w:r>
              <w:rPr>
                <w:b/>
              </w:rPr>
              <w:t>Lacune ou Alerte THE</w:t>
            </w:r>
          </w:p>
        </w:tc>
        <w:tc>
          <w:tcPr>
            <w:tcW w:type="dxa" w:w="6192"/>
          </w:tcPr>
          <w:p>
            <w:r>
              <w:t>ATTENTION : Preuve issue d'un fichier local ou interne. Selon la méthodologie THE 2027 (page 9), tout document soumis sous forme de pièce jointe est automatiquement noté 'Non public' (0 point).</w:t>
            </w:r>
          </w:p>
        </w:tc>
      </w:tr>
      <w:tr>
        <w:tc>
          <w:tcPr>
            <w:tcW w:type="dxa" w:w="3168"/>
          </w:tcPr>
          <w:p>
            <w:r>
              <w:rPr>
                <w:b/>
              </w:rPr>
              <w:t>Action proposée</w:t>
            </w:r>
          </w:p>
        </w:tc>
        <w:tc>
          <w:tcPr>
            <w:tcW w:type="dxa" w:w="6192"/>
          </w:tcPr>
          <w:p>
            <w:r>
              <w:t>COMPLÉTER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p>
      <w:pPr>
        <w:pStyle w:val="Heading2"/>
      </w:pPr>
      <w:r>
        <w:t>Indicateur 17.4.4 : Sustainability Literacy</w:t>
      </w:r>
    </w:p>
    <w:tbl>
      <w:tblPr>
        <w:tblStyle w:val="TableGrid"/>
        <w:tblW w:type="auto" w:w="0"/>
        <w:tblLook w:firstColumn="1" w:firstRow="1" w:lastColumn="0" w:lastRow="0" w:noHBand="0" w:noVBand="1" w:val="04A0"/>
      </w:tblPr>
      <w:tblGrid>
        <w:gridCol w:w="4320"/>
        <w:gridCol w:w="4320"/>
      </w:tblGrid>
      <w:tr>
        <w:tc>
          <w:tcPr>
            <w:tcW w:type="dxa" w:w="3168"/>
          </w:tcPr>
          <w:p>
            <w:r>
              <w:rPr>
                <w:b/>
              </w:rPr>
              <w:t>Exigence méthodologique THE</w:t>
            </w:r>
          </w:p>
        </w:tc>
        <w:tc>
          <w:tcPr>
            <w:tcW w:type="dxa" w:w="6192"/>
          </w:tcPr>
          <w:p>
            <w:r>
              <w:t>Evaluate students' ability to learn and retain key concepts of sustainability (e.g. Sulitest TASK).</w:t>
            </w:r>
          </w:p>
        </w:tc>
      </w:tr>
      <w:tr>
        <w:tc>
          <w:tcPr>
            <w:tcW w:type="dxa" w:w="3168"/>
          </w:tcPr>
          <w:p>
            <w:r>
              <w:rPr>
                <w:b/>
              </w:rPr>
              <w:t>Information trouvée</w:t>
            </w:r>
          </w:p>
        </w:tc>
        <w:tc>
          <w:tcPr>
            <w:tcW w:type="dxa" w:w="6192"/>
          </w:tcPr>
          <w:p>
            <w:r>
              <w:t>Université Constantine 3 Salah Boubnider - 18 mai 2025.</w:t>
            </w:r>
          </w:p>
        </w:tc>
      </w:tr>
      <w:tr>
        <w:tc>
          <w:tcPr>
            <w:tcW w:type="dxa" w:w="3168"/>
          </w:tcPr>
          <w:p>
            <w:r>
              <w:rPr>
                <w:b/>
              </w:rPr>
              <w:t>Année concernée</w:t>
            </w:r>
          </w:p>
        </w:tc>
        <w:tc>
          <w:tcPr>
            <w:tcW w:type="dxa" w:w="6192"/>
          </w:tcPr>
          <w:p>
            <w:r>
              <w:t>2025</w:t>
            </w:r>
          </w:p>
        </w:tc>
      </w:tr>
      <w:tr>
        <w:tc>
          <w:tcPr>
            <w:tcW w:type="dxa" w:w="3168"/>
          </w:tcPr>
          <w:p>
            <w:r>
              <w:rPr>
                <w:b/>
              </w:rPr>
              <w:t>Source exacte</w:t>
            </w:r>
          </w:p>
        </w:tc>
        <w:tc>
          <w:tcPr>
            <w:tcW w:type="dxa" w:w="6192"/>
          </w:tcPr>
          <w:p>
            <w:r>
              <w:t>https://univ-constantine3.dz/colloque-odd-transition-energetique-2025/</w:t>
            </w:r>
          </w:p>
        </w:tc>
      </w:tr>
      <w:tr>
        <w:tc>
          <w:tcPr>
            <w:tcW w:type="dxa" w:w="3168"/>
          </w:tcPr>
          <w:p>
            <w:r>
              <w:rPr>
                <w:b/>
              </w:rPr>
              <w:t>Extrait justificatif (verbatim)</w:t>
            </w:r>
          </w:p>
        </w:tc>
        <w:tc>
          <w:tcPr>
            <w:tcW w:type="dxa" w:w="6192"/>
          </w:tcPr>
          <w:p>
            <w:r>
              <w:t>« Université Constantine 3 Salah Boubnider - 18 mai 2025.</w:t>
              <w:br/>
              <w:t xml:space="preserve">Le Rectorat de l'Université Constantine 3, en partenariat avec la Faculté de Génie des Procédés, a réuni plus de 180 participants lors du Colloque International sur le Dialogue Intersectoriel pour les ODD et la Transition Énergétique. </w:t>
              <w:br/>
              <w:t>L'événement a rassemblé des représentants du Ministère de l'Enseignement Supérieur, de l'Agence Nationale de... »</w:t>
            </w:r>
          </w:p>
        </w:tc>
      </w:tr>
      <w:tr>
        <w:tc>
          <w:tcPr>
            <w:tcW w:type="dxa" w:w="3168"/>
          </w:tcPr>
          <w:p>
            <w:r>
              <w:rPr>
                <w:b/>
              </w:rPr>
              <w:t>Entité UC3 concernée</w:t>
            </w:r>
          </w:p>
        </w:tc>
        <w:tc>
          <w:tcPr>
            <w:tcW w:type="dxa" w:w="6192"/>
          </w:tcPr>
          <w:p>
            <w:r>
              <w:t>Rectorat &amp; Faculté Génie des Procédés UC3</w:t>
            </w:r>
          </w:p>
        </w:tc>
      </w:tr>
      <w:tr>
        <w:tc>
          <w:tcPr>
            <w:tcW w:type="dxa" w:w="3168"/>
          </w:tcPr>
          <w:p>
            <w:r>
              <w:rPr>
                <w:b/>
              </w:rPr>
              <w:t>Qualité de la preuve</w:t>
            </w:r>
          </w:p>
        </w:tc>
        <w:tc>
          <w:tcPr>
            <w:tcW w:type="dxa" w:w="6192"/>
          </w:tcPr>
          <w:p>
            <w:r>
              <w:t>SPECIFIC</w:t>
            </w:r>
          </w:p>
        </w:tc>
      </w:tr>
      <w:tr>
        <w:tc>
          <w:tcPr>
            <w:tcW w:type="dxa" w:w="3168"/>
          </w:tcPr>
          <w:p>
            <w:r>
              <w:rPr>
                <w:b/>
              </w:rPr>
              <w:t>Caractère public</w:t>
            </w:r>
          </w:p>
        </w:tc>
        <w:tc>
          <w:tcPr>
            <w:tcW w:type="dxa" w:w="6192"/>
          </w:tcPr>
          <w:p>
            <w:r>
              <w:t>PUBLIQUE</w:t>
            </w:r>
          </w:p>
        </w:tc>
      </w:tr>
      <w:tr>
        <w:tc>
          <w:tcPr>
            <w:tcW w:type="dxa" w:w="3168"/>
          </w:tcPr>
          <w:p>
            <w:r>
              <w:rPr>
                <w:b/>
              </w:rPr>
              <w:t>Niveau de confiance</w:t>
            </w:r>
          </w:p>
        </w:tc>
        <w:tc>
          <w:tcPr>
            <w:tcW w:type="dxa" w:w="6192"/>
          </w:tcPr>
          <w:p>
            <w:r>
              <w:t>ÉLEVÉE</w:t>
            </w:r>
          </w:p>
        </w:tc>
      </w:tr>
      <w:tr>
        <w:tc>
          <w:tcPr>
            <w:tcW w:type="dxa" w:w="3168"/>
          </w:tcPr>
          <w:p>
            <w:r>
              <w:rPr>
                <w:b/>
              </w:rPr>
              <w:t>Catégorie de fiabilité</w:t>
            </w:r>
          </w:p>
        </w:tc>
        <w:tc>
          <w:tcPr>
            <w:tcW w:type="dxa" w:w="6192"/>
          </w:tcPr>
          <w:p>
            <w:r>
              <w:t>Information vérifiée</w:t>
            </w:r>
          </w:p>
        </w:tc>
      </w:tr>
      <w:tr>
        <w:tc>
          <w:tcPr>
            <w:tcW w:type="dxa" w:w="3168"/>
          </w:tcPr>
          <w:p>
            <w:r>
              <w:rPr>
                <w:b/>
              </w:rPr>
              <w:t>Score THE estimé</w:t>
            </w:r>
          </w:p>
        </w:tc>
        <w:tc>
          <w:tcPr>
            <w:tcW w:type="dxa" w:w="6192"/>
          </w:tcPr>
          <w:p>
            <w:r>
              <w:t>3.0 / 3.0 pts (100.0%)</w:t>
            </w:r>
          </w:p>
        </w:tc>
      </w:tr>
      <w:tr>
        <w:tc>
          <w:tcPr>
            <w:tcW w:type="dxa" w:w="3168"/>
          </w:tcPr>
          <w:p>
            <w:r>
              <w:rPr>
                <w:b/>
              </w:rPr>
              <w:t>Lacune ou Alerte THE</w:t>
            </w:r>
          </w:p>
        </w:tc>
        <w:tc>
          <w:tcPr>
            <w:tcW w:type="dxa" w:w="6192"/>
          </w:tcPr>
          <w:p>
            <w:r>
              <w:t>Aucune non-conformité détectée.</w:t>
            </w:r>
          </w:p>
        </w:tc>
      </w:tr>
      <w:tr>
        <w:tc>
          <w:tcPr>
            <w:tcW w:type="dxa" w:w="3168"/>
          </w:tcPr>
          <w:p>
            <w:r>
              <w:rPr>
                <w:b/>
              </w:rPr>
              <w:t>Action proposée</w:t>
            </w:r>
          </w:p>
        </w:tc>
        <w:tc>
          <w:tcPr>
            <w:tcW w:type="dxa" w:w="6192"/>
          </w:tcPr>
          <w:p>
            <w:r>
              <w:t>VALIDER</w:t>
            </w:r>
          </w:p>
        </w:tc>
      </w:tr>
      <w:tr>
        <w:tc>
          <w:tcPr>
            <w:tcW w:type="dxa" w:w="3168"/>
          </w:tcPr>
          <w:p>
            <w:r>
              <w:rPr>
                <w:b/>
              </w:rPr>
              <w:t>Statut de validation</w:t>
            </w:r>
          </w:p>
        </w:tc>
        <w:tc>
          <w:tcPr>
            <w:tcW w:type="dxa" w:w="6192"/>
          </w:tcPr>
          <w:p>
            <w:r>
              <w:t>En attente de validation</w:t>
            </w:r>
          </w:p>
        </w:tc>
      </w:tr>
      <w:tr>
        <w:tc>
          <w:tcPr>
            <w:tcW w:type="dxa" w:w="3168"/>
          </w:tcPr>
          <w:p>
            <w:r>
              <w:rPr>
                <w:b/>
              </w:rPr>
              <w:t>Responsable assigné</w:t>
            </w:r>
          </w:p>
        </w:tc>
        <w:tc>
          <w:tcPr>
            <w:tcW w:type="dxa" w:w="6192"/>
          </w:tcPr>
          <w:p>
            <w:r>
              <w:t>Comité ODD UC3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