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hy-a-controls-crosswalk-matters"/>
    <w:p>
      <w:pPr>
        <w:pStyle w:val="Heading1"/>
      </w:pPr>
      <w:r>
        <w:t xml:space="preserve">Why a Controls Crosswalk Matters</w:t>
      </w:r>
    </w:p>
    <w:bookmarkStart w:id="20" w:name="the-problem-it-solves"/>
    <w:p>
      <w:pPr>
        <w:pStyle w:val="Heading2"/>
      </w:pPr>
      <w:r>
        <w:t xml:space="preserve">The problem it solves</w:t>
      </w:r>
    </w:p>
    <w:p>
      <w:pPr>
        <w:pStyle w:val="FirstParagraph"/>
      </w:pPr>
      <w:r>
        <w:t xml:space="preserve">Most organizations have to satisfy</w:t>
      </w:r>
      <w:r>
        <w:t xml:space="preserve"> </w:t>
      </w:r>
      <w:r>
        <w:rPr>
          <w:bCs/>
          <w:b/>
        </w:rPr>
        <w:t xml:space="preserve">more than one</w:t>
      </w:r>
      <w:r>
        <w:t xml:space="preserve"> </w:t>
      </w:r>
      <w:r>
        <w:t xml:space="preserve">security framework at the same</w:t>
      </w:r>
      <w:r>
        <w:t xml:space="preserve"> </w:t>
      </w:r>
      <w:r>
        <w:t xml:space="preserve">time. A fintech might need: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NIST CSF 2.0</w:t>
      </w:r>
      <w:r>
        <w:t xml:space="preserve"> </w:t>
      </w:r>
      <w:r>
        <w:t xml:space="preserve">as its internal program backbone,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SOC 2</w:t>
      </w:r>
      <w:r>
        <w:t xml:space="preserve"> </w:t>
      </w:r>
      <w:r>
        <w:t xml:space="preserve">(which draws on controls like those in</w:t>
      </w:r>
      <w:r>
        <w:t xml:space="preserve"> </w:t>
      </w:r>
      <w:r>
        <w:rPr>
          <w:bCs/>
          <w:b/>
        </w:rPr>
        <w:t xml:space="preserve">NIST 800-53</w:t>
      </w:r>
      <w:r>
        <w:t xml:space="preserve">) to sell to</w:t>
      </w:r>
      <w:r>
        <w:t xml:space="preserve"> </w:t>
      </w:r>
      <w:r>
        <w:t xml:space="preserve">enterprise customers,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ISO/IEC 27001</w:t>
      </w:r>
      <w:r>
        <w:t xml:space="preserve"> </w:t>
      </w:r>
      <w:r>
        <w:t xml:space="preserve">because an international partner requires certification, 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CIS Controls v8</w:t>
      </w:r>
      <w:r>
        <w:t xml:space="preserve"> </w:t>
      </w:r>
      <w:r>
        <w:t xml:space="preserve">as the practical, prioritized checklist its engineers follow.</w:t>
      </w:r>
    </w:p>
    <w:p>
      <w:pPr>
        <w:pStyle w:val="FirstParagraph"/>
      </w:pPr>
      <w:r>
        <w:t xml:space="preserve">Without a crosswalk, teams treat these as four separate projects — four audits,</w:t>
      </w:r>
      <w:r>
        <w:t xml:space="preserve"> </w:t>
      </w:r>
      <w:r>
        <w:t xml:space="preserve">four evidence requests, four spreadsheets — even though the underlying controls</w:t>
      </w:r>
      <w:r>
        <w:t xml:space="preserve"> </w:t>
      </w:r>
      <w:r>
        <w:t xml:space="preserve">overlap enormously.</w:t>
      </w:r>
      <w:r>
        <w:t xml:space="preserve"> </w:t>
      </w:r>
      <w:r>
        <w:t xml:space="preserve">“</w:t>
      </w:r>
      <w:r>
        <w:t xml:space="preserve">Enforce MFA</w:t>
      </w:r>
      <w:r>
        <w:t xml:space="preserve">”</w:t>
      </w:r>
      <w:r>
        <w:t xml:space="preserve"> </w:t>
      </w:r>
      <w:r>
        <w:t xml:space="preserve">is one control that satisfies a requirement in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framework.</w:t>
      </w:r>
    </w:p>
    <w:bookmarkEnd w:id="20"/>
    <w:bookmarkStart w:id="21" w:name="the-principle-assess-once-comply-many"/>
    <w:p>
      <w:pPr>
        <w:pStyle w:val="Heading2"/>
      </w:pPr>
      <w:r>
        <w:t xml:space="preserve">The principle: assess once, comply many</w:t>
      </w:r>
    </w:p>
    <w:p>
      <w:pPr>
        <w:pStyle w:val="FirstParagraph"/>
      </w:pPr>
      <w:r>
        <w:t xml:space="preserve">A crosswalk maps each control area to its equivalent in every framework, so you can: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Collect evidence once</w:t>
      </w:r>
      <w:r>
        <w:t xml:space="preserve"> </w:t>
      </w:r>
      <w:r>
        <w:t xml:space="preserve">and apply it to multiple audits (MFA evidence satisfies</w:t>
      </w:r>
      <w:r>
        <w:t xml:space="preserve"> </w:t>
      </w:r>
      <w:r>
        <w:t xml:space="preserve">NIST, ISO,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CIS at the same time).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See coverage gaps</w:t>
      </w:r>
      <w:r>
        <w:t xml:space="preserve"> </w:t>
      </w:r>
      <w:r>
        <w:t xml:space="preserve">— if a control is required by ISO but you only track it in</w:t>
      </w:r>
      <w:r>
        <w:t xml:space="preserve"> </w:t>
      </w:r>
      <w:r>
        <w:t xml:space="preserve">CIS, the crosswalk surfaces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Translate between auditors</w:t>
      </w:r>
      <w:r>
        <w:t xml:space="preserve"> </w:t>
      </w:r>
      <w:r>
        <w:t xml:space="preserve">— a SOC 2 auditor speaks 800-53-style controls; an</w:t>
      </w:r>
      <w:r>
        <w:t xml:space="preserve"> </w:t>
      </w:r>
      <w:r>
        <w:t xml:space="preserve">ISO auditor speaks Annex A. The crosswalk lets one control conversation serve both.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Scope a new framework fast</w:t>
      </w:r>
      <w:r>
        <w:t xml:space="preserve"> </w:t>
      </w:r>
      <w:r>
        <w:t xml:space="preserve">— adopting ISO 27001 when you already run NIST CSF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what’s the delta?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start from zero.</w:t>
      </w:r>
      <w:r>
        <w:t xml:space="preserve">”</w:t>
      </w:r>
    </w:p>
    <w:p>
      <w:pPr>
        <w:pStyle w:val="FirstParagraph"/>
      </w:pPr>
      <w:r>
        <w:t xml:space="preserve">This is a core efficiency lever in real GRC programs and a major reason compliance</w:t>
      </w:r>
      <w:r>
        <w:t xml:space="preserve"> </w:t>
      </w:r>
      <w:r>
        <w:t xml:space="preserve">automation platforms (Vanta, Drata, OneTrust) exist.</w:t>
      </w:r>
    </w:p>
    <w:bookmarkEnd w:id="21"/>
    <w:bookmarkStart w:id="22" w:name="X2b591236d766499288122238395d28901faf8ee"/>
    <w:p>
      <w:pPr>
        <w:pStyle w:val="Heading2"/>
      </w:pPr>
      <w:r>
        <w:t xml:space="preserve">The important caveat: mappings are many-to-many and approximate</w:t>
      </w:r>
    </w:p>
    <w:p>
      <w:pPr>
        <w:pStyle w:val="FirstParagraph"/>
      </w:pPr>
      <w:r>
        <w:t xml:space="preserve">Frameworks are written at different levels of granularity, so mappings are rarely</w:t>
      </w:r>
      <w:r>
        <w:t xml:space="preserve"> </w:t>
      </w:r>
      <w:r>
        <w:t xml:space="preserve">one-to-one:</w:t>
      </w:r>
    </w:p>
    <w:p>
      <w:pPr>
        <w:numPr>
          <w:ilvl w:val="0"/>
          <w:numId w:val="1003"/>
        </w:numPr>
        <w:pStyle w:val="Compact"/>
      </w:pPr>
      <w:r>
        <w:t xml:space="preserve">One</w:t>
      </w:r>
      <w:r>
        <w:t xml:space="preserve"> </w:t>
      </w:r>
      <w:r>
        <w:rPr>
          <w:bCs/>
          <w:b/>
        </w:rPr>
        <w:t xml:space="preserve">NIST CSF</w:t>
      </w:r>
      <w:r>
        <w:t xml:space="preserve"> </w:t>
      </w:r>
      <w:r>
        <w:t xml:space="preserve">subcategory often maps to</w:t>
      </w:r>
      <w:r>
        <w:t xml:space="preserve"> </w:t>
      </w:r>
      <w:r>
        <w:rPr>
          <w:bCs/>
          <w:b/>
        </w:rPr>
        <w:t xml:space="preserve">several</w:t>
      </w:r>
      <w:r>
        <w:t xml:space="preserve"> </w:t>
      </w:r>
      <w:r>
        <w:t xml:space="preserve">800-53 controls.</w:t>
      </w:r>
    </w:p>
    <w:p>
      <w:pPr>
        <w:numPr>
          <w:ilvl w:val="0"/>
          <w:numId w:val="1003"/>
        </w:numPr>
        <w:pStyle w:val="Compact"/>
      </w:pPr>
      <w:r>
        <w:t xml:space="preserve">One</w:t>
      </w:r>
      <w:r>
        <w:t xml:space="preserve"> </w:t>
      </w:r>
      <w:r>
        <w:rPr>
          <w:bCs/>
          <w:b/>
        </w:rPr>
        <w:t xml:space="preserve">ISO 27001</w:t>
      </w:r>
      <w:r>
        <w:t xml:space="preserve"> </w:t>
      </w:r>
      <w:r>
        <w:t xml:space="preserve">Annex A control can relate to multiple CIS safeguards.</w:t>
      </w:r>
    </w:p>
    <w:p>
      <w:pPr>
        <w:numPr>
          <w:ilvl w:val="0"/>
          <w:numId w:val="1003"/>
        </w:numPr>
        <w:pStyle w:val="Compact"/>
      </w:pPr>
      <w:r>
        <w:t xml:space="preserve">Some controls exist in one framework and have</w:t>
      </w:r>
      <w:r>
        <w:t xml:space="preserve"> </w:t>
      </w:r>
      <w:r>
        <w:rPr>
          <w:bCs/>
          <w:b/>
        </w:rPr>
        <w:t xml:space="preserve">no clean equivalent</w:t>
      </w:r>
      <w:r>
        <w:t xml:space="preserve"> </w:t>
      </w:r>
      <w:r>
        <w:t xml:space="preserve">in another</w:t>
      </w:r>
      <w:r>
        <w:t xml:space="preserve"> </w:t>
      </w:r>
      <w:r>
        <w:t xml:space="preserve">(shown as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in the data).</w:t>
      </w:r>
    </w:p>
    <w:p>
      <w:pPr>
        <w:pStyle w:val="FirstParagraph"/>
      </w:pPr>
      <w:r>
        <w:t xml:space="preserve">A crosswalk is therefore a</w:t>
      </w:r>
      <w:r>
        <w:t xml:space="preserve"> </w:t>
      </w:r>
      <w:r>
        <w:rPr>
          <w:bCs/>
          <w:b/>
        </w:rPr>
        <w:t xml:space="preserve">professional judgment artifact</w:t>
      </w:r>
      <w:r>
        <w:t xml:space="preserve">, not a lookup table of</w:t>
      </w:r>
      <w:r>
        <w:t xml:space="preserve"> </w:t>
      </w:r>
      <w:r>
        <w:t xml:space="preserve">exact equals. This is itself an interview-worthy point: good GRC analysts know that</w:t>
      </w:r>
      <w:r>
        <w:t xml:space="preserve"> </w:t>
      </w:r>
      <w:r>
        <w:t xml:space="preserve">“</w:t>
      </w:r>
      <w:r>
        <w:t xml:space="preserve">mapped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addresses the same control objective,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identical.</w:t>
      </w:r>
      <w:r>
        <w:t xml:space="preserve">”</w:t>
      </w:r>
    </w:p>
    <w:bookmarkEnd w:id="22"/>
    <w:bookmarkStart w:id="23" w:name="framework-quick-reference"/>
    <w:p>
      <w:pPr>
        <w:pStyle w:val="Heading2"/>
      </w:pPr>
      <w:r>
        <w:t xml:space="preserve">Framework quick-reference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2722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CSF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Outcome-based framework; 6 functions (GV, ID, PR, DE, RS, RC)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PR.AA-03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SP 800-53 Rev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federal control catalog; control families (AC, IA, IR…)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IA-2(1)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ISO/IEC 27001:2022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ISMS standard; Annex A, 93 controls in 4 themes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 Controls 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Prioritized, practical safeguards; 18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6.3</w:t>
            </w:r>
          </w:p>
        </w:tc>
      </w:tr>
    </w:tbl>
    <w:bookmarkEnd w:id="23"/>
    <w:bookmarkStart w:id="24" w:name="provenance-of-this-crosswalk"/>
    <w:p>
      <w:pPr>
        <w:pStyle w:val="Heading2"/>
      </w:pPr>
      <w:r>
        <w:t xml:space="preserve">Provenance of this crosswalk</w:t>
      </w:r>
    </w:p>
    <w:p>
      <w:pPr>
        <w:pStyle w:val="FirstParagraph"/>
      </w:pPr>
      <w:r>
        <w:t xml:space="preserve">The mappings here are</w:t>
      </w:r>
      <w:r>
        <w:t xml:space="preserve"> </w:t>
      </w:r>
      <w:r>
        <w:rPr>
          <w:bCs/>
          <w:b/>
        </w:rPr>
        <w:t xml:space="preserve">curated for education</w:t>
      </w:r>
      <w:r>
        <w:t xml:space="preserve"> </w:t>
      </w:r>
      <w:r>
        <w:t xml:space="preserve">and aligned to the direction of the</w:t>
      </w:r>
      <w:r>
        <w:t xml:space="preserve"> </w:t>
      </w:r>
      <w:r>
        <w:t xml:space="preserve">published authoritative sources:</w:t>
      </w:r>
    </w:p>
    <w:p>
      <w:pPr>
        <w:numPr>
          <w:ilvl w:val="0"/>
          <w:numId w:val="1004"/>
        </w:numPr>
        <w:pStyle w:val="Compact"/>
      </w:pPr>
      <w:r>
        <w:t xml:space="preserve">NIST CSF 2.0</w:t>
      </w:r>
      <w:r>
        <w:t xml:space="preserve"> </w:t>
      </w:r>
      <w:r>
        <w:rPr>
          <w:bCs/>
          <w:b/>
        </w:rPr>
        <w:t xml:space="preserve">Informative References</w:t>
      </w:r>
      <w:r>
        <w:t xml:space="preserve"> </w:t>
      </w:r>
      <w:r>
        <w:t xml:space="preserve">(and the NIST</w:t>
      </w:r>
      <w:r>
        <w:t xml:space="preserve"> </w:t>
      </w:r>
      <w:r>
        <w:rPr>
          <w:bCs/>
          <w:b/>
        </w:rPr>
        <w:t xml:space="preserve">OLIR</w:t>
      </w:r>
      <w:r>
        <w:t xml:space="preserve"> </w:t>
      </w:r>
      <w:r>
        <w:t xml:space="preserve">program, which</w:t>
      </w:r>
      <w:r>
        <w:t xml:space="preserve"> </w:t>
      </w:r>
      <w:r>
        <w:t xml:space="preserve">publishes official framework-to-framework mappings).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CIS Controls v8</w:t>
      </w:r>
      <w:r>
        <w:t xml:space="preserve"> </w:t>
      </w:r>
      <w:r>
        <w:t xml:space="preserve">mappings to NIST CSF / 800-53 / ISO 27001 (CIS publishes these).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ISO/IEC 27001:2022 Annex A</w:t>
      </w:r>
      <w:r>
        <w:t xml:space="preserve"> </w:t>
      </w:r>
      <w:r>
        <w:t xml:space="preserve">control set.</w:t>
      </w:r>
    </w:p>
    <w:p>
      <w:pPr>
        <w:pStyle w:val="FirstParagraph"/>
      </w:pPr>
      <w:r>
        <w:t xml:space="preserve">They are representative, not exhaustive, and should be validated against the current</w:t>
      </w:r>
      <w:r>
        <w:t xml:space="preserve"> </w:t>
      </w:r>
      <w:r>
        <w:t xml:space="preserve">official source documents before use in a real audit.</w:t>
      </w:r>
    </w:p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2026-10-23T04:31:00Z</dcterms:created>
  <dcterms:modified xsi:type="dcterms:W3CDTF">2026-10-23T04:31:00Z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