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why-a-controls-crosswalk-matters"/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Why a Controls Crosswalk Matters</w:t>
      </w:r>
    </w:p>
    <w:bookmarkStart w:id="20" w:name="the-problem-it-solves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The problem it solves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Most organizations have to satisfy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more than one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security framework at the same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time. A fintech might need: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NIST CSF 2.0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as its internal program backbone,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SOC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(which draws on controls like those 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NIST 800-53</w:t>
      </w:r>
      <w:r>
        <w:rPr>
          <w:rFonts w:ascii="Times New Roman" w:hAnsi="Times New Roman" w:eastAsia="Times New Roman" w:cs="Times New Roman"/>
        </w:rPr>
        <w:t xml:space="preserve">) to sell to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enterprise customers,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ISO/IEC 27001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because an international partner requires certification, and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CIS Controls v8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as the practical, prioritized checklist its engineers follow.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Without a crosswalk, teams treat these as four separate projects — four audits,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four evidence requests, four spreadsheets — even though the underlying controls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overlap enormously.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Enforce MFA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is one control that satisfies a requirement 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iCs/>
          <w:i/>
        </w:rPr>
        <w:t xml:space="preserve">every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framework.</w:t>
      </w:r>
    </w:p>
    <w:bookmarkEnd w:id="20"/>
    <w:bookmarkStart w:id="21" w:name="the-principle-assess-once-comply-many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The principle: assess once, comply many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crosswalk maps each control area to its equivalent in every framework, so you can: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Collect evidence once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and apply it to multiple audits (MFA evidence satisfies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NIST, ISO,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iCs/>
          <w:i/>
        </w:rPr>
        <w:t xml:space="preserve">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CIS at the same time).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See coverage gaps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if a control is required by ISO but you only track it 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CIS, the crosswalk surfaces it.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Translate between auditors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a SOC 2 auditor speaks 800-53-style controls; 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ISO auditor speaks Annex A. The crosswalk lets one control conversation serve both.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Scope a new framework fast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adopting ISO 27001 when you already run NIST CSF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becomes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what’s the delta?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instead 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start from zero.</w:t>
      </w:r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This is a core efficiency lever in real GRC programs and a major reason compliance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automation platforms (Vanta, Drata, OneTrust) exist.</w:t>
      </w:r>
    </w:p>
    <w:bookmarkEnd w:id="21"/>
    <w:bookmarkStart w:id="22" w:name="X2b591236d766499288122238395d28901faf8ee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The important caveat: mappings are many-to-many and approximate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Frameworks are written at different levels of granularity, so mappings are rarely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one-to-one: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 w:eastAsia="Times New Roman" w:cs="Times New Roman"/>
        </w:rPr>
        <w:t xml:space="preserve">One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NIST CSF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subcategory often maps to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several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800-53 controls.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 w:eastAsia="Times New Roman" w:cs="Times New Roman"/>
        </w:rPr>
        <w:t xml:space="preserve">One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ISO 27001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Annex A control can relate to multiple CIS safeguards.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 w:eastAsia="Times New Roman" w:cs="Times New Roman"/>
        </w:rPr>
        <w:t xml:space="preserve">Some controls exist in one framework and have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no clean equivalent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in another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(shown 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in the data).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crosswalk is therefore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professional judgment artifact</w:t>
      </w:r>
      <w:r>
        <w:rPr>
          <w:rFonts w:ascii="Times New Roman" w:hAnsi="Times New Roman" w:eastAsia="Times New Roman" w:cs="Times New Roman"/>
        </w:rPr>
        <w:t xml:space="preserve">, not a lookup table 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exact equals. This is itself an interview-worthy point: good GRC analysts know that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mapped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means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addresses the same control objective,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not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identical.</w:t>
      </w:r>
      <w:r>
        <w:rPr>
          <w:rFonts w:ascii="Times New Roman" w:hAnsi="Times New Roman" w:eastAsia="Times New Roman" w:cs="Times New Roman"/>
        </w:rPr>
        <w:t xml:space="preserve">”</w:t>
      </w:r>
    </w:p>
    <w:bookmarkEnd w:id="22"/>
    <w:bookmarkStart w:id="23" w:name="framework-quick-reference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Framework quick-reference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22"/>
        <w:gridCol w:w="2722"/>
        <w:gridCol w:w="24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ID style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  <w:bCs/>
                <w:b/>
              </w:rPr>
              <w:t xml:space="preserve">NIST CSF 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Outcome-based framework; 6 functions (GV, ID, PR, DE, RS, RC)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  <w:rStyle w:val="VerbatimChar"/>
              </w:rPr>
              <w:t xml:space="preserve">PR.AA-03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  <w:bCs/>
                <w:b/>
              </w:rPr>
              <w:t xml:space="preserve">NIST SP 800-53 Rev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Detailed federal control catalog; control families (AC, IA, IR…)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  <w:rStyle w:val="VerbatimChar"/>
              </w:rPr>
              <w:t xml:space="preserve">IA-2(1)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  <w:bCs/>
                <w:b/>
              </w:rPr>
              <w:t xml:space="preserve">ISO/IEC 27001:2022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International ISMS standard; Annex A, 93 controls in 4 themes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  <w:rStyle w:val="VerbatimChar"/>
              </w:rPr>
              <w:t xml:space="preserve">A.8.5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  <w:bCs/>
                <w:b/>
              </w:rPr>
              <w:t xml:space="preserve">CIS Controls v8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Prioritized, practical safeguards; 18 controls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eastAsia="Times New Roman" w:cs="Times New Roman"/>
                <w:rStyle w:val="VerbatimChar"/>
              </w:rPr>
              <w:t xml:space="preserve">6.3</w:t>
            </w:r>
          </w:p>
        </w:tc>
      </w:tr>
    </w:tbl>
    <w:bookmarkEnd w:id="23"/>
    <w:bookmarkStart w:id="24" w:name="provenance-of-this-crosswalk"/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Provenance of this crosswalk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The mappings here are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curated for education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and aligned to the direction of the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published authoritative sources: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 w:eastAsia="Times New Roman" w:cs="Times New Roman"/>
        </w:rPr>
        <w:t xml:space="preserve">NIST CSF 2.0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Informative References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(and the NIST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b/>
        </w:rPr>
        <w:t xml:space="preserve">OLIR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program, which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publishes official framework-to-framework mappings).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CIS Controls v8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mappings to NIST CSF / 800-53 / ISO 27001 (CIS publishes these).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 w:eastAsia="Times New Roman" w:cs="Times New Roman"/>
          <w:bCs/>
          <w:b/>
        </w:rPr>
        <w:t xml:space="preserve">ISO/IEC 27001:2022 Annex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control set.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They are representative, not exhaustive, and should be validated against the current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official source documents before use in a real audit.</w:t>
      </w:r>
    </w:p>
    <w:p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24"/>
    <w:bookmarkEnd w:id="25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Times New Roman" w:cs="Times New Roman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eastAsia="Times New Roman" w:cs="Times New Roma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Times New Roman" w:cs="Times New Roma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Times New Roman" w:cs="Times New Roman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eastAsia="Times New Roman" w:cs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eastAsia="Times New Roman" w:cs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eastAsia="Times New Roman" w:cs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eastAsia="Times New Roman" w:cs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rFonts w:ascii="Times New Roman" w:hAnsi="Times New Roman" w:eastAsia="Times New Roman" w:cs="Times New Roman"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Times New Roman" w:cs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Times New Roman" w:cs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eastAsia="Times New Roman" w:cs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eastAsia="Times New Roman" w:cs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eastAsia="Times New Roman" w:cs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eastAsia="Times New Roman" w:cs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eastAsia="Times New Roman" w:cs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eastAsia="Times New Roman" w:cs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eastAsia="Times New Roman" w:cs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eastAsia="Times New Roman" w:cs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eastAsia="Times New Roman" w:cs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Times New Roman" w:cs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Times New Roman" w:cs="Times New Roma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Times New Roman" w:cs="Times New Roman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rPr>
      <w:rFonts w:ascii="Times New Roman" w:hAnsi="Times New Roman" w:eastAsia="Times New Roman" w:cs="Times New Roman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Times New Roman" w:cs="Times New Roman"/>
      <w:b/>
    </w:rPr>
  </w:style>
  <w:style w:customStyle="1" w:styleId="Definition" w:type="paragraph">
    <w:name w:val="Definition"/>
    <w:basedOn w:val="Normal"/>
    <w:rPr>
      <w:rFonts w:ascii="Times New Roman" w:hAnsi="Times New Roman" w:eastAsia="Times New Roman" w:cs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Times New Roman" w:cs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Times New Roman" w:cs="Times New Roman"/>
    </w:rPr>
  </w:style>
  <w:style w:customStyle="1" w:styleId="ImageCaption" w:type="paragraph">
    <w:name w:val="Image Caption"/>
    <w:basedOn w:val="Caption"/>
    <w:rPr>
      <w:rFonts w:ascii="Times New Roman" w:hAnsi="Times New Roman" w:eastAsia="Times New Roman" w:cs="Times New Roman"/>
    </w:rPr>
  </w:style>
  <w:style w:customStyle="1" w:styleId="Figure" w:type="paragraph">
    <w:name w:val="Figure"/>
    <w:basedOn w:val="Normal"/>
    <w:rPr>
      <w:rFonts w:ascii="Times New Roman" w:hAnsi="Times New Roman" w:eastAsia="Times New Roman" w:cs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Times New Roman" w:cs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Times New Roman" w:cs="Times New Roman"/>
    </w:rPr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Times New Roman" w:cs="Times New Roman"/>
    </w:rPr>
  </w:style>
  <w:style w:styleId="FootnoteReference" w:type="character">
    <w:name w:val="Footnote Reference"/>
    <w:basedOn w:val="BodyTextChar"/>
    <w:rPr>
      <w:rFonts w:ascii="Times New Roman" w:hAnsi="Times New Roman" w:eastAsia="Times New Roman" w:cs="Times New Roma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Times New Roman" w:cs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Times New Roman" w:cs="Times New Roman"/>
    </w:rPr>
  </w:style>
  <w:style w:type="character" w:customStyle="1" w:styleId="KeywordTok">
    <w:name w:val="KeywordTok"/>
    <w:basedOn w:val="VerbatimChar"/>
    <w:rPr>
      <w:rFonts w:ascii="Times New Roman" w:hAnsi="Times New Roman" w:eastAsia="Times New Roman" w:cs="Times New Roman"/>
      <w:color w:val="007020"/>
      <w:b/>
    </w:rPr>
  </w:style>
  <w:style w:type="character" w:customStyle="1" w:styleId="DataTypeTok">
    <w:name w:val="DataTypeTok"/>
    <w:basedOn w:val="VerbatimChar"/>
    <w:rPr>
      <w:rFonts w:ascii="Times New Roman" w:hAnsi="Times New Roman" w:eastAsia="Times New Roma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Times New Roma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Times New Roma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Times New Roma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Times New Roma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Times New Roma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Times New Roma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Times New Roma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Times New Roma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Times New Roma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Times New Roman" w:cs="Times New Roman"/>
      <w:color w:val="008000"/>
      <w:b/>
    </w:rPr>
  </w:style>
  <w:style w:type="character" w:customStyle="1" w:styleId="CommentTok">
    <w:name w:val="CommentTok"/>
    <w:basedOn w:val="VerbatimChar"/>
    <w:rPr>
      <w:rFonts w:ascii="Times New Roman" w:hAnsi="Times New Roman" w:eastAsia="Times New Roman" w:cs="Times New Roman"/>
      <w:color w:val="60a0b0"/>
      <w:i/>
    </w:rPr>
  </w:style>
  <w:style w:type="character" w:customStyle="1" w:styleId="DocumentationTok">
    <w:name w:val="DocumentationTok"/>
    <w:basedOn w:val="VerbatimChar"/>
    <w:rPr>
      <w:rFonts w:ascii="Times New Roman" w:hAnsi="Times New Roman" w:eastAsia="Times New Roman" w:cs="Times New Roman"/>
      <w:color w:val="ba2121"/>
      <w:i/>
    </w:rPr>
  </w:style>
  <w:style w:type="character" w:customStyle="1" w:styleId="AnnotationTok">
    <w:name w:val="AnnotationTok"/>
    <w:basedOn w:val="VerbatimChar"/>
    <w:rPr>
      <w:rFonts w:ascii="Times New Roman" w:hAnsi="Times New Roman" w:eastAsia="Times New Roman" w:cs="Times New Roman"/>
      <w:color w:val="60a0b0"/>
      <w:b/>
      <w:i/>
    </w:rPr>
  </w:style>
  <w:style w:type="character" w:customStyle="1" w:styleId="CommentVarTok">
    <w:name w:val="CommentVarTok"/>
    <w:basedOn w:val="VerbatimChar"/>
    <w:rPr>
      <w:rFonts w:ascii="Times New Roman" w:hAnsi="Times New Roman" w:eastAsia="Times New Roman" w:cs="Times New Roman"/>
      <w:color w:val="60a0b0"/>
      <w:b/>
      <w:i/>
    </w:rPr>
  </w:style>
  <w:style w:type="character" w:customStyle="1" w:styleId="OtherTok">
    <w:name w:val="OtherTok"/>
    <w:basedOn w:val="VerbatimChar"/>
    <w:rPr>
      <w:rFonts w:ascii="Times New Roman" w:hAnsi="Times New Roman" w:eastAsia="Times New Roma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Times New Roma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Times New Roma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Times New Roman" w:cs="Times New Roman"/>
      <w:color w:val="007020"/>
      <w:b/>
    </w:rPr>
  </w:style>
  <w:style w:type="character" w:customStyle="1" w:styleId="OperatorTok">
    <w:name w:val="OperatorTok"/>
    <w:basedOn w:val="VerbatimChar"/>
    <w:rPr>
      <w:rFonts w:ascii="Times New Roman" w:hAnsi="Times New Roman" w:eastAsia="Times New Roma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Times New Roma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Times New Roma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Times New Roma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Times New Roma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Times New Roma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Times New Roman" w:cs="Times New Roman"/>
      <w:color w:val="60a0b0"/>
      <w:b/>
      <w:i/>
    </w:rPr>
  </w:style>
  <w:style w:type="character" w:customStyle="1" w:styleId="WarningTok">
    <w:name w:val="WarningTok"/>
    <w:basedOn w:val="VerbatimChar"/>
    <w:rPr>
      <w:rFonts w:ascii="Times New Roman" w:hAnsi="Times New Roman" w:eastAsia="Times New Roman" w:cs="Times New Roman"/>
      <w:color w:val="60a0b0"/>
      <w:b/>
      <w:i/>
    </w:rPr>
  </w:style>
  <w:style w:type="character" w:customStyle="1" w:styleId="AlertTok">
    <w:name w:val="AlertTok"/>
    <w:basedOn w:val="VerbatimChar"/>
    <w:rPr>
      <w:rFonts w:ascii="Times New Roman" w:hAnsi="Times New Roman" w:eastAsia="Times New Roman" w:cs="Times New Roman"/>
      <w:color w:val="ff0000"/>
      <w:b/>
    </w:rPr>
  </w:style>
  <w:style w:type="character" w:customStyle="1" w:styleId="ErrorTok">
    <w:name w:val="ErrorTok"/>
    <w:basedOn w:val="VerbatimChar"/>
    <w:rPr>
      <w:rFonts w:ascii="Times New Roman" w:hAnsi="Times New Roman" w:eastAsia="Times New Roman" w:cs="Times New Roman"/>
      <w:color w:val="ff0000"/>
      <w:b/>
    </w:rPr>
  </w:style>
  <w:style w:type="character" w:customStyle="1" w:styleId="NormalTok">
    <w:name w:val="NormalTok"/>
    <w:basedOn w:val="VerbatimChar"/>
    <w:rPr>
      <w:rFonts w:ascii="Times New Roman" w:hAnsi="Times New Roman" w:eastAsia="Times New Roman" w:cs="Times New Roma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2026-10-23T04:31:00Z</dcterms:created>
  <dcterms:modified xsi:type="dcterms:W3CDTF">2026-10-23T04:31:00Z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