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mpany-scenario-northstar-lending-inc."/>
    <w:p>
      <w:pPr>
        <w:pStyle w:val="Heading1"/>
      </w:pPr>
      <w:r>
        <w:t xml:space="preserve">Company Scenario — NorthStar Lending, Inc.</w:t>
      </w:r>
    </w:p>
    <w:p>
      <w:pPr>
        <w:pStyle w:val="BlockText"/>
      </w:pPr>
      <w:r>
        <w:rPr>
          <w:bCs/>
          <w:b/>
        </w:rPr>
        <w:t xml:space="preserve">Portfolio note:</w:t>
      </w:r>
      <w:r>
        <w:t xml:space="preserve"> </w:t>
      </w:r>
      <w:r>
        <w:t xml:space="preserve">NorthStar Lending is a</w:t>
      </w:r>
      <w:r>
        <w:t xml:space="preserve"> </w:t>
      </w:r>
      <w:r>
        <w:rPr>
          <w:iCs/>
          <w:i/>
        </w:rPr>
        <w:t xml:space="preserve">fictional</w:t>
      </w:r>
      <w:r>
        <w:t xml:space="preserve"> </w:t>
      </w:r>
      <w:r>
        <w:t xml:space="preserve">company created for this</w:t>
      </w:r>
      <w:r>
        <w:t xml:space="preserve"> </w:t>
      </w:r>
      <w:r>
        <w:t xml:space="preserve">lab project. All systems, data, and findings are invented to demonstrate a</w:t>
      </w:r>
      <w:r>
        <w:t xml:space="preserve"> </w:t>
      </w:r>
      <w:r>
        <w:t xml:space="preserve">realistic GRC risk-assessment workflow. No real company or data is involved.</w:t>
      </w:r>
    </w:p>
    <w:bookmarkStart w:id="20" w:name="business-overview"/>
    <w:p>
      <w:pPr>
        <w:pStyle w:val="Heading2"/>
      </w:pPr>
      <w:r>
        <w:t xml:space="preserve">1. Business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NorthStar Lending,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services / fintech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small-business lending and ACH payment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Headquarters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Dallas, TX (remote-first workforce)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employees; ~8,000 active small-business borrowers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Cloud-native (AWS); SaaS-heavy (Google Workspace, Salesforce, Slack)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Public/private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Privately held, venture-backed</w:t>
            </w:r>
          </w:p>
        </w:tc>
      </w:tr>
    </w:tbl>
    <w:p>
      <w:pPr>
        <w:pStyle w:val="BodyText"/>
      </w:pPr>
      <w:r>
        <w:t xml:space="preserve">NorthStar lets small businesses apply for working-capital loans through a web and</w:t>
      </w:r>
      <w:r>
        <w:t xml:space="preserve"> </w:t>
      </w:r>
      <w:r>
        <w:t xml:space="preserve">mobile portal, pulls bank and credit data to underwrite, and disburses/collects</w:t>
      </w:r>
      <w:r>
        <w:t xml:space="preserve"> </w:t>
      </w:r>
      <w:r>
        <w:t xml:space="preserve">funds via ACH. It is scaling quickly and signing larger customers who now demand</w:t>
      </w:r>
      <w:r>
        <w:t xml:space="preserve"> </w:t>
      </w:r>
      <w:r>
        <w:t xml:space="preserve">evidence of a security program (SOC 2, security questionnaires).</w:t>
      </w:r>
    </w:p>
    <w:bookmarkEnd w:id="20"/>
    <w:bookmarkStart w:id="21" w:name="X39154e2c668d6295160c88872c2954c4ecce608"/>
    <w:p>
      <w:pPr>
        <w:pStyle w:val="Heading2"/>
      </w:pPr>
      <w:r>
        <w:t xml:space="preserve">2. Why this company has real compliance drivers</w:t>
      </w:r>
    </w:p>
    <w:p>
      <w:pPr>
        <w:pStyle w:val="FirstParagraph"/>
      </w:pPr>
      <w:r>
        <w:t xml:space="preserve">Because NorthStar handles consumers’ and businesses’ financial data, several</w:t>
      </w:r>
      <w:r>
        <w:t xml:space="preserve"> </w:t>
      </w:r>
      <w:r>
        <w:t xml:space="preserve">obligations apply. These are the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behind every risk in the register: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GLBA Safeguards Rule (FTC, 16 CFR 314):</w:t>
      </w:r>
      <w:r>
        <w:t xml:space="preserve"> </w:t>
      </w:r>
      <w:r>
        <w:t xml:space="preserve">As a non-bank financial institution,</w:t>
      </w:r>
      <w:r>
        <w:t xml:space="preserve"> </w:t>
      </w:r>
      <w:r>
        <w:t xml:space="preserve">NorthStar must maintain a written information security program, designate a</w:t>
      </w:r>
      <w:r>
        <w:t xml:space="preserve"> </w:t>
      </w:r>
      <w:r>
        <w:t xml:space="preserve">qualified individual, perform periodic risk assessments, and implement specific</w:t>
      </w:r>
      <w:r>
        <w:t xml:space="preserve"> </w:t>
      </w:r>
      <w:r>
        <w:t xml:space="preserve">safeguards (access controls, encryption, MFA, logging, incident response).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PCI DSS:</w:t>
      </w:r>
      <w:r>
        <w:t xml:space="preserve"> </w:t>
      </w:r>
      <w:r>
        <w:t xml:space="preserve">A portion of repayments are made by debit/credit card, bringing the</w:t>
      </w:r>
      <w:r>
        <w:t xml:space="preserve"> </w:t>
      </w:r>
      <w:r>
        <w:t xml:space="preserve">cardholder-data environment into scope.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SOC 2 (Trust Services Criteria):</w:t>
      </w:r>
      <w:r>
        <w:t xml:space="preserve"> </w:t>
      </w:r>
      <w:r>
        <w:t xml:space="preserve">Enterprise customers require a SOC 2 Type II</w:t>
      </w:r>
      <w:r>
        <w:t xml:space="preserve"> </w:t>
      </w:r>
      <w:r>
        <w:t xml:space="preserve">report before signing; this drives most of the control expectations.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FFIEC / state lending regulation:</w:t>
      </w:r>
      <w:r>
        <w:t xml:space="preserve"> </w:t>
      </w:r>
      <w:r>
        <w:t xml:space="preserve">As a lender and money-movement business,</w:t>
      </w:r>
      <w:r>
        <w:t xml:space="preserve"> </w:t>
      </w:r>
      <w:r>
        <w:t xml:space="preserve">NorthStar is subject to examination expectations and state licensing conditions.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 privacy &amp; breach-notification laws</w:t>
      </w:r>
      <w:r>
        <w:t xml:space="preserve"> </w:t>
      </w:r>
      <w:r>
        <w:t xml:space="preserve">(e.g., Texas, plus every state where</w:t>
      </w:r>
      <w:r>
        <w:t xml:space="preserve"> </w:t>
      </w:r>
      <w:r>
        <w:t xml:space="preserve">borrowers reside).</w:t>
      </w:r>
    </w:p>
    <w:p>
      <w:pPr>
        <w:pStyle w:val="BlockText"/>
      </w:pPr>
      <w:r>
        <w:rPr>
          <w:bCs/>
          <w:b/>
        </w:rPr>
        <w:t xml:space="preserve">Framework choice:</w:t>
      </w:r>
      <w:r>
        <w:t xml:space="preserve"> </w:t>
      </w:r>
      <w:r>
        <w:t xml:space="preserve">This assessment uses the</w:t>
      </w:r>
      <w:r>
        <w:t xml:space="preserve"> </w:t>
      </w:r>
      <w:r>
        <w:rPr>
          <w:bCs/>
          <w:b/>
        </w:rPr>
        <w:t xml:space="preserve">NIST Cybersecurity Framework</w:t>
      </w:r>
      <w:r>
        <w:rPr>
          <w:bCs/>
          <w:b/>
        </w:rPr>
        <w:t xml:space="preserve"> </w:t>
      </w:r>
      <w:r>
        <w:rPr>
          <w:bCs/>
          <w:b/>
        </w:rPr>
        <w:t xml:space="preserve">(CSF) 2.0</w:t>
      </w:r>
      <w:r>
        <w:t xml:space="preserve"> </w:t>
      </w:r>
      <w:r>
        <w:t xml:space="preserve">as the organizing backbone, because it is control-neutral, maps</w:t>
      </w:r>
      <w:r>
        <w:t xml:space="preserve"> </w:t>
      </w:r>
      <w:r>
        <w:t xml:space="preserve">cleanly to GLBA/FFIEC expectations, and crosswalks to the controls a SOC 2 or</w:t>
      </w:r>
      <w:r>
        <w:t xml:space="preserve"> </w:t>
      </w:r>
      <w:r>
        <w:t xml:space="preserve">ISO 27001 effort would require (see Project 2 — Controls Crosswalk).</w:t>
      </w:r>
    </w:p>
    <w:bookmarkEnd w:id="21"/>
    <w:bookmarkStart w:id="22" w:name="scope-of-the-assessment"/>
    <w:p>
      <w:pPr>
        <w:pStyle w:val="Heading2"/>
      </w:pPr>
      <w:r>
        <w:t xml:space="preserve">3. Scope of the assessment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the systems that store, process, or transmit customer financial data</w:t>
      </w:r>
      <w:r>
        <w:t xml:space="preserve"> </w:t>
      </w:r>
      <w:r>
        <w:t xml:space="preserve">and the controls that protect them.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2534"/>
        <w:gridCol w:w="2059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/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loan portal (web/mobile)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Customer-facing application and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PII, financial,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Pulls bank/credit data, scores 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PII, SSN, bank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 / payments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Initiates disbursements and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bank account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database (AWS 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of record for borrowers and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PII, financial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storage (AWS 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Documents, statements,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PII, financial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SaaS (Workspace, Salesforce, Slack)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CRM,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PII, 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Laptops used by remote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access to all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provider (SSO)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to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keys to the kingdom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 of scope for this iteration:</w:t>
      </w:r>
      <w:r>
        <w:t xml:space="preserve"> </w:t>
      </w:r>
      <w:r>
        <w:t xml:space="preserve">physical security of the (minimal) office,</w:t>
      </w:r>
      <w:r>
        <w:t xml:space="preserve"> </w:t>
      </w:r>
      <w:r>
        <w:t xml:space="preserve">and the HR/benefits systems that do not touch customer financial data.</w:t>
      </w:r>
    </w:p>
    <w:bookmarkEnd w:id="22"/>
    <w:bookmarkStart w:id="23" w:name="data-types-handled"/>
    <w:p>
      <w:pPr>
        <w:pStyle w:val="Heading2"/>
      </w:pPr>
      <w:r>
        <w:t xml:space="preserve">4. Data types handled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Customer PII:</w:t>
      </w:r>
      <w:r>
        <w:t xml:space="preserve"> </w:t>
      </w:r>
      <w:r>
        <w:t xml:space="preserve">names, addresses, dates of birth, Social Security Numbers,</w:t>
      </w:r>
      <w:r>
        <w:t xml:space="preserve"> </w:t>
      </w:r>
      <w:r>
        <w:t xml:space="preserve">Employer Identification Numbers.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Financial data:</w:t>
      </w:r>
      <w:r>
        <w:t xml:space="preserve"> </w:t>
      </w:r>
      <w:r>
        <w:t xml:space="preserve">bank account and routing numbers, card data, credit reports,</w:t>
      </w:r>
      <w:r>
        <w:t xml:space="preserve"> </w:t>
      </w:r>
      <w:r>
        <w:t xml:space="preserve">loan balances and history.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Credentials &amp; secrets:</w:t>
      </w:r>
      <w:r>
        <w:t xml:space="preserve"> </w:t>
      </w:r>
      <w:r>
        <w:t xml:space="preserve">customer portal logins, employee SSO, API keys.</w:t>
      </w:r>
    </w:p>
    <w:bookmarkEnd w:id="23"/>
    <w:bookmarkStart w:id="24" w:name="X64938e6769776a43e68cf1781b1309479aefcf4"/>
    <w:p>
      <w:pPr>
        <w:pStyle w:val="Heading2"/>
      </w:pPr>
      <w:r>
        <w:t xml:space="preserve">5. How this scenario feeds the rest of the project</w:t>
      </w:r>
    </w:p>
    <w:p>
      <w:pPr>
        <w:pStyle w:val="FirstParagraph"/>
      </w:pPr>
      <w:r>
        <w:t xml:space="preserve">The business context above determines, for each risk:</w:t>
      </w:r>
      <w:r>
        <w:t xml:space="preserve"> </w:t>
      </w:r>
      <w:r>
        <w:t xml:space="preserve">- how likely a threat is to materialize (threat environment for a fintech), and</w:t>
      </w:r>
      <w:r>
        <w:t xml:space="preserve"> </w:t>
      </w:r>
      <w:r>
        <w:t xml:space="preserve">- how large the impact would be (regulatory, financial, and reputational, given</w:t>
      </w:r>
      <w:r>
        <w:t xml:space="preserve"> </w:t>
      </w:r>
      <w:r>
        <w:t xml:space="preserve">the data types and obligations listed).</w:t>
      </w:r>
    </w:p>
    <w:p>
      <w:pPr>
        <w:pStyle w:val="BodyText"/>
      </w:pPr>
      <w:r>
        <w:t xml:space="preserve">Those two judgments are what the</w:t>
      </w:r>
      <w:r>
        <w:t xml:space="preserve"> </w:t>
      </w:r>
      <w:r>
        <w:rPr>
          <w:bCs/>
          <w:b/>
        </w:rPr>
        <w:t xml:space="preserve">risk 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data/risk-register.csv</w:t>
      </w:r>
      <w:r>
        <w:t xml:space="preserve">) and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scoring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scripts/risk_scoring.py</w:t>
      </w:r>
      <w:r>
        <w:t xml:space="preserve">) turn into prioritized, defensible</w:t>
      </w:r>
      <w:r>
        <w:t xml:space="preserve"> </w:t>
      </w:r>
      <w:r>
        <w:t xml:space="preserve">numbers in the</w:t>
      </w:r>
      <w:r>
        <w:t xml:space="preserve"> </w:t>
      </w:r>
      <w:r>
        <w:rPr>
          <w:bCs/>
          <w:b/>
        </w:rPr>
        <w:t xml:space="preserve">risk assessment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docs/03-risk-assessment-report.md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risk-assessment-methodology"/>
    <w:p>
      <w:pPr>
        <w:pStyle w:val="Heading1"/>
      </w:pPr>
      <w:r>
        <w:t xml:space="preserve">Risk Assessment Methodology</w:t>
      </w:r>
    </w:p>
    <w:p>
      <w:pPr>
        <w:pStyle w:val="FirstParagraph"/>
      </w:pPr>
      <w:r>
        <w:t xml:space="preserve">This assessment uses a</w:t>
      </w:r>
      <w:r>
        <w:t xml:space="preserve"> </w:t>
      </w:r>
      <w:r>
        <w:rPr>
          <w:bCs/>
          <w:b/>
        </w:rPr>
        <w:t xml:space="preserve">semi-quantitative</w:t>
      </w:r>
      <w:r>
        <w:t xml:space="preserve"> </w:t>
      </w:r>
      <w:r>
        <w:t xml:space="preserve">model for all risks, plus a</w:t>
      </w:r>
      <w:r>
        <w:t xml:space="preserve"> </w:t>
      </w:r>
      <w:r>
        <w:rPr>
          <w:bCs/>
          <w:b/>
        </w:rPr>
        <w:t xml:space="preserve">quantitative (annualized loss) layer</w:t>
      </w:r>
      <w:r>
        <w:t xml:space="preserve"> </w:t>
      </w:r>
      <w:r>
        <w:t xml:space="preserve">for the highest-priority risks. The</w:t>
      </w:r>
      <w:r>
        <w:t xml:space="preserve"> </w:t>
      </w:r>
      <w:r>
        <w:t xml:space="preserve">approach aligns with</w:t>
      </w:r>
      <w:r>
        <w:t xml:space="preserve"> </w:t>
      </w:r>
      <w:r>
        <w:rPr>
          <w:bCs/>
          <w:b/>
        </w:rPr>
        <w:t xml:space="preserve">NIST SP 800-30</w:t>
      </w:r>
      <w:r>
        <w:t xml:space="preserve"> </w:t>
      </w:r>
      <w:r>
        <w:t xml:space="preserve">(Guide for Conducting Risk Assessments)</w:t>
      </w:r>
      <w:r>
        <w:t xml:space="preserve"> </w:t>
      </w:r>
      <w:r>
        <w:t xml:space="preserve">and the risk-assessment expectation of the</w:t>
      </w:r>
      <w:r>
        <w:t xml:space="preserve"> </w:t>
      </w:r>
      <w:r>
        <w:rPr>
          <w:bCs/>
          <w:b/>
        </w:rPr>
        <w:t xml:space="preserve">GLBA Safeguards Rule</w:t>
      </w:r>
      <w:r>
        <w:t xml:space="preserve">.</w:t>
      </w:r>
    </w:p>
    <w:bookmarkStart w:id="29" w:name="risk-model"/>
    <w:p>
      <w:pPr>
        <w:pStyle w:val="Heading2"/>
      </w:pPr>
      <w:r>
        <w:t xml:space="preserve">1. Risk model</w:t>
      </w:r>
    </w:p>
    <w:p>
      <w:pPr>
        <w:pStyle w:val="FirstParagraph"/>
      </w:pPr>
      <w:r>
        <w:t xml:space="preserve">For each risk we assess</w:t>
      </w:r>
      <w:r>
        <w:t xml:space="preserve"> </w:t>
      </w:r>
      <w:r>
        <w:rPr>
          <w:bCs/>
          <w:b/>
        </w:rPr>
        <w:t xml:space="preserve">inherent risk</w:t>
      </w:r>
      <w:r>
        <w:t xml:space="preserve"> </w:t>
      </w:r>
      <w:r>
        <w:t xml:space="preserve">(before considering controls) and</w:t>
      </w:r>
      <w:r>
        <w:t xml:space="preserve"> </w:t>
      </w:r>
      <w:r>
        <w:rPr>
          <w:bCs/>
          <w:b/>
        </w:rPr>
        <w:t xml:space="preserve">residual risk</w:t>
      </w:r>
      <w:r>
        <w:t xml:space="preserve"> </w:t>
      </w:r>
      <w:r>
        <w:t xml:space="preserve">(after existing controls), so the register shows both the raw</w:t>
      </w:r>
      <w:r>
        <w:t xml:space="preserve"> </w:t>
      </w:r>
      <w:r>
        <w:t xml:space="preserve">exposure and what current controls actually buy down.</w:t>
      </w:r>
    </w:p>
    <w:p>
      <w:pPr>
        <w:pStyle w:val="SourceCode"/>
      </w:pPr>
      <w:r>
        <w:rPr>
          <w:rStyle w:val="VerbatimChar"/>
        </w:rPr>
        <w:t xml:space="preserve">Risk Score = Likelihood  ×  Impact</w:t>
      </w:r>
    </w:p>
    <w:p>
      <w:pPr>
        <w:pStyle w:val="FirstParagraph"/>
      </w:pPr>
      <w:r>
        <w:t xml:space="preserve">Both factors use a</w:t>
      </w:r>
      <w:r>
        <w:t xml:space="preserve"> </w:t>
      </w:r>
      <w:r>
        <w:rPr>
          <w:bCs/>
          <w:b/>
        </w:rPr>
        <w:t xml:space="preserve">1–5 scale</w:t>
      </w:r>
      <w:r>
        <w:t xml:space="preserve">. Scores range from 1 to 25 and are banded into</w:t>
      </w:r>
      <w:r>
        <w:t xml:space="preserve"> </w:t>
      </w:r>
      <w:r>
        <w:t xml:space="preserve">qualitative levels for reporting and prioritization.</w:t>
      </w:r>
    </w:p>
    <w:bookmarkStart w:id="26" w:name="likelihood-scale"/>
    <w:p>
      <w:pPr>
        <w:pStyle w:val="Heading3"/>
      </w:pPr>
      <w:r>
        <w:t xml:space="preserve">1.1 Likelihood scale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(annualized)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expected in a multi-year horizon (&lt; ~5%/yr)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Unlikely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occur but not expected (~5–20%/yr)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Might occur at some point (~20–50%/yr)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to occur (~50–80%/yr)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to occur repeatedly (&gt; ~80%/yr)</w:t>
            </w:r>
          </w:p>
        </w:tc>
      </w:tr>
    </w:tbl>
    <w:bookmarkEnd w:id="26"/>
    <w:bookmarkStart w:id="27" w:name="impact-scale"/>
    <w:p>
      <w:pPr>
        <w:pStyle w:val="Heading3"/>
      </w:pPr>
      <w:r>
        <w:t xml:space="preserve">1.2 Impact scale</w:t>
      </w:r>
    </w:p>
    <w:p>
      <w:pPr>
        <w:pStyle w:val="FirstParagraph"/>
      </w:pPr>
      <w:r>
        <w:t xml:space="preserve">Impact is rated on the</w:t>
      </w:r>
      <w:r>
        <w:t xml:space="preserve"> </w:t>
      </w:r>
      <w:r>
        <w:rPr>
          <w:bCs/>
          <w:b/>
        </w:rPr>
        <w:t xml:space="preserve">worst plausible</w:t>
      </w:r>
      <w:r>
        <w:t xml:space="preserve"> </w:t>
      </w:r>
      <w:r>
        <w:t xml:space="preserve">outcome across three dimensions —</w:t>
      </w:r>
      <w:r>
        <w:t xml:space="preserve"> </w:t>
      </w:r>
      <w:r>
        <w:rPr>
          <w:bCs/>
          <w:b/>
        </w:rPr>
        <w:t xml:space="preserve">financial, regulatory/legal, and reputational</w:t>
      </w:r>
      <w:r>
        <w:t xml:space="preserve"> </w:t>
      </w:r>
      <w:r>
        <w:t xml:space="preserve">— reflecting NorthStar’s data</w:t>
      </w:r>
      <w:r>
        <w:t xml:space="preserve"> </w:t>
      </w:r>
      <w:r>
        <w:t xml:space="preserve">and obligations.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32"/>
        <w:gridCol w:w="1408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impact for NorthStar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internal disruption; no data or regulatory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disruption; easily remediated; no reportable data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Localized data exposure; customer notification; recoverable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of regulated financial data; regulatory scrutiny; material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Large-scale breach of SSN/bank data; GLBA enforcement; existential cost</w:t>
            </w:r>
          </w:p>
        </w:tc>
      </w:tr>
    </w:tbl>
    <w:bookmarkEnd w:id="27"/>
    <w:bookmarkStart w:id="28" w:name="risk-level-bands"/>
    <w:p>
      <w:pPr>
        <w:pStyle w:val="Heading3"/>
      </w:pPr>
      <w:r>
        <w:t xml:space="preserve">1.3 Risk level bands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(L × 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expectation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/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Remediate on a defined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Remediate urgently; escalate to leadership</w:t>
            </w:r>
          </w:p>
        </w:tc>
      </w:tr>
    </w:tbl>
    <w:bookmarkEnd w:id="28"/>
    <w:bookmarkEnd w:id="29"/>
    <w:bookmarkStart w:id="30" w:name="control-effectiveness-residual-risk"/>
    <w:p>
      <w:pPr>
        <w:pStyle w:val="Heading2"/>
      </w:pPr>
      <w:r>
        <w:t xml:space="preserve">2. Control effectiveness → residual risk</w:t>
      </w:r>
    </w:p>
    <w:p>
      <w:pPr>
        <w:pStyle w:val="FirstParagraph"/>
      </w:pPr>
      <w:r>
        <w:t xml:space="preserve">Existing controls reduce likelihood, impact, or both. Each risk records the</w:t>
      </w:r>
      <w:r>
        <w:t xml:space="preserve"> </w:t>
      </w:r>
      <w:r>
        <w:t xml:space="preserve">current controls and a</w:t>
      </w:r>
      <w:r>
        <w:t xml:space="preserve"> </w:t>
      </w:r>
      <w:r>
        <w:rPr>
          <w:bCs/>
          <w:b/>
        </w:rPr>
        <w:t xml:space="preserve">control-effectiveness rating</w:t>
      </w:r>
      <w:r>
        <w:t xml:space="preserve"> </w:t>
      </w:r>
      <w:r>
        <w:t xml:space="preserve">that justifies the</w:t>
      </w:r>
      <w:r>
        <w:t xml:space="preserve"> </w:t>
      </w:r>
      <w:r>
        <w:t xml:space="preserve">residual scores: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meaningful control in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Partial/ad-hoc control; easily bypassed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exists but has gaps or isn’t consistently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Well-designed, consistently operating control</w:t>
            </w:r>
          </w:p>
        </w:tc>
      </w:tr>
    </w:tbl>
    <w:p>
      <w:pPr>
        <w:pStyle w:val="BodyText"/>
      </w:pPr>
      <w:r>
        <w:t xml:space="preserve">Residual likelihood and impact are re-rated on the same 1–5 scales given those</w:t>
      </w:r>
      <w:r>
        <w:t xml:space="preserve"> </w:t>
      </w:r>
      <w:r>
        <w:t xml:space="preserve">controls.</w:t>
      </w:r>
      <w:r>
        <w:t xml:space="preserve"> </w:t>
      </w:r>
      <w:r>
        <w:rPr>
          <w:bCs/>
          <w:b/>
        </w:rPr>
        <w:t xml:space="preserve">Residual risk is what drives the treatment decision.</w:t>
      </w:r>
    </w:p>
    <w:bookmarkEnd w:id="30"/>
    <w:bookmarkStart w:id="31" w:name="risk-treatment"/>
    <w:p>
      <w:pPr>
        <w:pStyle w:val="Heading2"/>
      </w:pPr>
      <w:r>
        <w:t xml:space="preserve">3. Risk treatment</w:t>
      </w:r>
    </w:p>
    <w:p>
      <w:pPr>
        <w:pStyle w:val="FirstParagraph"/>
      </w:pPr>
      <w:r>
        <w:t xml:space="preserve">Each risk is assigned one of the four standard treatments (per ISO 31000 /</w:t>
      </w:r>
      <w:r>
        <w:t xml:space="preserve"> </w:t>
      </w:r>
      <w:r>
        <w:t xml:space="preserve">NIST 800-30):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Mitigate</w:t>
      </w:r>
      <w:r>
        <w:t xml:space="preserve"> </w:t>
      </w:r>
      <w:r>
        <w:t xml:space="preserve">— add or strengthen controls to reduce the risk.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Transfer</w:t>
      </w:r>
      <w:r>
        <w:t xml:space="preserve"> </w:t>
      </w:r>
      <w:r>
        <w:t xml:space="preserve">— shift risk via insurance or contractual terms.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Avoid</w:t>
      </w:r>
      <w:r>
        <w:t xml:space="preserve"> </w:t>
      </w:r>
      <w:r>
        <w:t xml:space="preserve">— stop the activity that creates the risk.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Accept</w:t>
      </w:r>
      <w:r>
        <w:t xml:space="preserve"> </w:t>
      </w:r>
      <w:r>
        <w:t xml:space="preserve">— formally accept the residual risk (documented, owner sign-off).</w:t>
      </w:r>
    </w:p>
    <w:bookmarkEnd w:id="31"/>
    <w:bookmarkStart w:id="32" w:name="Xc537e031ca689e0ecbd3495b975ccccf0beb765"/>
    <w:p>
      <w:pPr>
        <w:pStyle w:val="Heading2"/>
      </w:pPr>
      <w:r>
        <w:t xml:space="preserve">4. Quantitative layer (top risks) — the finance view</w:t>
      </w:r>
    </w:p>
    <w:p>
      <w:pPr>
        <w:pStyle w:val="FirstParagraph"/>
      </w:pPr>
      <w:r>
        <w:t xml:space="preserve">For the highest-residual risks, a qualitative score isn’t enough to justify spend.</w:t>
      </w:r>
      <w:r>
        <w:t xml:space="preserve"> </w:t>
      </w:r>
      <w:r>
        <w:t xml:space="preserve">We add a</w:t>
      </w:r>
      <w:r>
        <w:t xml:space="preserve"> </w:t>
      </w:r>
      <w:r>
        <w:rPr>
          <w:bCs/>
          <w:b/>
        </w:rPr>
        <w:t xml:space="preserve">single-loss / annualized-loss</w:t>
      </w:r>
      <w:r>
        <w:t xml:space="preserve"> </w:t>
      </w:r>
      <w:r>
        <w:t xml:space="preserve">estimate so leadership can compare the</w:t>
      </w:r>
      <w:r>
        <w:t xml:space="preserve"> </w:t>
      </w:r>
      <w:r>
        <w:t xml:space="preserve">cost of a control to the risk it reduces — the same expected-value logic used in</w:t>
      </w:r>
      <w:r>
        <w:t xml:space="preserve"> </w:t>
      </w:r>
      <w:r>
        <w:t xml:space="preserve">financial analysis.</w:t>
      </w:r>
    </w:p>
    <w:p>
      <w:pPr>
        <w:pStyle w:val="SourceCode"/>
      </w:pPr>
      <w:r>
        <w:rPr>
          <w:rStyle w:val="VerbatimChar"/>
        </w:rPr>
        <w:t xml:space="preserve">SLE  (Single Loss Expectancy)      = Asset Value × Exposure Factor</w:t>
      </w:r>
      <w:r>
        <w:br/>
      </w:r>
      <w:r>
        <w:rPr>
          <w:rStyle w:val="VerbatimChar"/>
        </w:rPr>
        <w:t xml:space="preserve">ALE  (Annualized Loss Expectancy)  = SLE × ARO (Annualized Rate of Occurrence)</w:t>
      </w:r>
      <w:r>
        <w:br/>
      </w:r>
      <w:r>
        <w:rPr>
          <w:rStyle w:val="VerbatimChar"/>
        </w:rPr>
        <w:t xml:space="preserve">Risk-reduction value of a control  = ALE(before) − ALE(after)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Exposure Factor (EF):</w:t>
      </w:r>
      <w:r>
        <w:t xml:space="preserve"> </w:t>
      </w:r>
      <w:r>
        <w:t xml:space="preserve">the fraction of the asset’s value lost if the event occurs.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ARO:</w:t>
      </w:r>
      <w:r>
        <w:t xml:space="preserve"> </w:t>
      </w:r>
      <w:r>
        <w:t xml:space="preserve">how many times per year the event is expected (derived from the</w:t>
      </w:r>
      <w:r>
        <w:t xml:space="preserve"> </w:t>
      </w:r>
      <w:r>
        <w:t xml:space="preserve">likelihood rating, e.g.,</w:t>
      </w:r>
      <w:r>
        <w:t xml:space="preserve"> </w:t>
      </w:r>
      <w:r>
        <w:t xml:space="preserve">“</w:t>
      </w:r>
      <w:r>
        <w:t xml:space="preserve">Possible</w:t>
      </w:r>
      <w:r>
        <w:t xml:space="preserve">”</w:t>
      </w:r>
      <w:r>
        <w:t xml:space="preserve"> </w:t>
      </w:r>
      <w:r>
        <w:t xml:space="preserve">≈ 0.35/yr).</w:t>
      </w:r>
    </w:p>
    <w:p>
      <w:pPr>
        <w:pStyle w:val="BlockText"/>
      </w:pPr>
      <w:r>
        <w:rPr>
          <w:bCs/>
          <w:b/>
        </w:rPr>
        <w:t xml:space="preserve">Worked example (Risk R03 — insecure API exposing customer data):</w:t>
      </w:r>
      <w:r>
        <w:t xml:space="preserve"> </w:t>
      </w:r>
      <w:r>
        <w:t xml:space="preserve">Estimated loss per breach event (notification, regulatory, remediation,</w:t>
      </w:r>
      <w:r>
        <w:t xml:space="preserve"> </w:t>
      </w:r>
      <w:r>
        <w:t xml:space="preserve">churn)</w:t>
      </w:r>
      <w:r>
        <w:t xml:space="preserve"> </w:t>
      </w:r>
      <w:r>
        <w:rPr>
          <w:bCs/>
          <w:b/>
        </w:rPr>
        <w:t xml:space="preserve">SLE = $1,200,000</w:t>
      </w:r>
      <w:r>
        <w:t xml:space="preserve">; estimated frequency</w:t>
      </w:r>
      <w:r>
        <w:t xml:space="preserve"> </w:t>
      </w:r>
      <w:r>
        <w:rPr>
          <w:bCs/>
          <w:b/>
        </w:rPr>
        <w:t xml:space="preserve">ARO = 0.4/yr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ALE ≈ $480,000/yr</w:t>
      </w:r>
      <w:r>
        <w:t xml:space="preserve">. Implementing API authentication, rate-limiting, and a</w:t>
      </w:r>
      <w:r>
        <w:t xml:space="preserve"> </w:t>
      </w:r>
      <w:r>
        <w:t xml:space="preserve">WAF is estimated to cut ARO to ~0.1/yr →</w:t>
      </w:r>
      <w:r>
        <w:t xml:space="preserve"> </w:t>
      </w:r>
      <w:r>
        <w:rPr>
          <w:bCs/>
          <w:b/>
        </w:rPr>
        <w:t xml:space="preserve">ALE ≈ $120,000/yr</w:t>
      </w:r>
      <w:r>
        <w:t xml:space="preserve">, a modeled</w:t>
      </w:r>
      <w:r>
        <w:t xml:space="preserve"> </w:t>
      </w:r>
      <w:r>
        <w:rPr>
          <w:bCs/>
          <w:b/>
        </w:rPr>
        <w:t xml:space="preserve">risk reduction of ~$360,000/yr</w:t>
      </w:r>
      <w:r>
        <w:t xml:space="preserve"> </w:t>
      </w:r>
      <w:r>
        <w:t xml:space="preserve">against a control cost well under that.</w:t>
      </w:r>
      <w:r>
        <w:t xml:space="preserve"> </w:t>
      </w:r>
      <w:r>
        <w:t xml:space="preserve">The investment is justified on expected-value grounds.</w:t>
      </w:r>
    </w:p>
    <w:p>
      <w:pPr>
        <w:pStyle w:val="FirstParagraph"/>
      </w:pPr>
      <w:r>
        <w:t xml:space="preserve">These figures are</w:t>
      </w:r>
      <w:r>
        <w:t xml:space="preserve"> </w:t>
      </w:r>
      <w:r>
        <w:rPr>
          <w:bCs/>
          <w:b/>
        </w:rPr>
        <w:t xml:space="preserve">illustrative estimates</w:t>
      </w:r>
      <w:r>
        <w:t xml:space="preserve"> </w:t>
      </w:r>
      <w:r>
        <w:t xml:space="preserve">for a fictional company — the point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method</w:t>
      </w:r>
      <w:r>
        <w:t xml:space="preserve"> </w:t>
      </w:r>
      <w:r>
        <w:t xml:space="preserve">of translating a security risk into a financial decision, which is</w:t>
      </w:r>
      <w:r>
        <w:t xml:space="preserve"> </w:t>
      </w:r>
      <w:r>
        <w:t xml:space="preserve">how GRC earns a seat at the budget table.</w:t>
      </w:r>
    </w:p>
    <w:bookmarkEnd w:id="32"/>
    <w:bookmarkStart w:id="33" w:name="limitations"/>
    <w:p>
      <w:pPr>
        <w:pStyle w:val="Heading2"/>
      </w:pPr>
      <w:r>
        <w:t xml:space="preserve">5. Limitations</w:t>
      </w:r>
    </w:p>
    <w:p>
      <w:pPr>
        <w:numPr>
          <w:ilvl w:val="0"/>
          <w:numId w:val="1004"/>
        </w:numPr>
        <w:pStyle w:val="Compact"/>
      </w:pPr>
      <w:r>
        <w:t xml:space="preserve">Likelihood and impact ratings are expert-judgment estimates, not actuarial data.</w:t>
      </w:r>
    </w:p>
    <w:p>
      <w:pPr>
        <w:numPr>
          <w:ilvl w:val="0"/>
          <w:numId w:val="1004"/>
        </w:numPr>
        <w:pStyle w:val="Compact"/>
      </w:pPr>
      <w:r>
        <w:t xml:space="preserve">The quantitative layer uses modeled loss figures; a real program would refine</w:t>
      </w:r>
      <w:r>
        <w:t xml:space="preserve"> </w:t>
      </w:r>
      <w:r>
        <w:t xml:space="preserve">these with industry breach-cost data (e.g., IBM Cost of a Data Breach) and</w:t>
      </w:r>
      <w:r>
        <w:t xml:space="preserve"> </w:t>
      </w:r>
      <w:r>
        <w:t xml:space="preserve">internal financials.</w:t>
      </w:r>
    </w:p>
    <w:p>
      <w:pPr>
        <w:numPr>
          <w:ilvl w:val="0"/>
          <w:numId w:val="1004"/>
        </w:numPr>
        <w:pStyle w:val="Compact"/>
      </w:pPr>
      <w:r>
        <w:t xml:space="preserve">This is a point-in-time assessment; risk should be re-assessed at least annually</w:t>
      </w:r>
      <w:r>
        <w:t xml:space="preserve"> </w:t>
      </w:r>
      <w:r>
        <w:t xml:space="preserve">and on major change (a GLBA expectation).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X2b7d4489ac53bbaa33d0d293cc73536cc4ca38e"/>
    <w:p>
      <w:pPr>
        <w:pStyle w:val="Heading1"/>
      </w:pPr>
      <w:r>
        <w:t xml:space="preserve">Information Security Risk Assessment Report</w:t>
      </w:r>
    </w:p>
    <w:bookmarkStart w:id="35" w:name="northstar-lending-inc.-nist-csf-2.0"/>
    <w:p>
      <w:pPr>
        <w:pStyle w:val="Heading3"/>
      </w:pPr>
      <w:r>
        <w:t xml:space="preserve">NorthStar Lending, Inc. — NIST CSF 2.0</w:t>
      </w:r>
    </w:p>
    <w:p>
      <w:pPr>
        <w:pStyle w:val="BlockText"/>
      </w:pPr>
      <w:r>
        <w:rPr>
          <w:bCs/>
          <w:b/>
        </w:rPr>
        <w:t xml:space="preserve">Portfolio note:</w:t>
      </w:r>
      <w:r>
        <w:t xml:space="preserve"> </w:t>
      </w:r>
      <w:r>
        <w:t xml:space="preserve">NorthStar Lending is a fictional company. This report is a</w:t>
      </w:r>
      <w:r>
        <w:t xml:space="preserve"> </w:t>
      </w:r>
      <w:r>
        <w:t xml:space="preserve">lab exercise demonstrating a GRC risk-assessment deliverable; all data is invented.</w: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Salim Mbaye</w:t>
      </w:r>
      <w:r>
        <w:t xml:space="preserve"> </w:t>
      </w:r>
      <w:r>
        <w:rPr>
          <w:bCs/>
          <w:b/>
        </w:rPr>
        <w:t xml:space="preserve">Framework:</w:t>
      </w:r>
      <w:r>
        <w:t xml:space="preserve"> </w:t>
      </w:r>
      <w:r>
        <w:t xml:space="preserve">NIST Cybersecurity Framework (CSF) 2.0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Semi-quantitative (NIST SP 800-30), with an annualized-loss layer for top risks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October 20th, 2026</w:t>
      </w:r>
    </w:p>
    <w:p>
      <w:r>
        <w:pict>
          <v:rect style="width:0;height:1.5pt" o:hralign="center" o:hrstd="t" o:hr="t"/>
        </w:pict>
      </w:r>
    </w:p>
    <w:bookmarkEnd w:id="35"/>
    <w:bookmarkStart w:id="3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NorthStar Lending, a fintech handling customer financial data (PII, SSNs, bank and</w:t>
      </w:r>
      <w:r>
        <w:t xml:space="preserve"> </w:t>
      </w:r>
      <w:r>
        <w:t xml:space="preserve">card data), was assessed against the NIST CSF 2.0. Fourteen risks were identified</w:t>
      </w:r>
      <w:r>
        <w:t xml:space="preserve"> </w:t>
      </w:r>
      <w:r>
        <w:t xml:space="preserve">and scored for inherent and residual exposure.</w:t>
      </w:r>
    </w:p>
    <w:p>
      <w:pPr>
        <w:pStyle w:val="BodyText"/>
      </w:pPr>
      <w:r>
        <w:rPr>
          <w:bCs/>
          <w:b/>
        </w:rPr>
        <w:t xml:space="preserve">Headline results (residual, after existing controls):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Residual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organization carries meaningful unmitigated risk concentrated in</w:t>
      </w:r>
      <w:r>
        <w:t xml:space="preserve"> </w:t>
      </w:r>
      <w:r>
        <w:rPr>
          <w:bCs/>
          <w:b/>
        </w:rPr>
        <w:t xml:space="preserve">identity and</w:t>
      </w:r>
      <w:r>
        <w:rPr>
          <w:bCs/>
          <w:b/>
        </w:rP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(no enforced MFA),</w:t>
      </w:r>
      <w:r>
        <w:t xml:space="preserve"> </w:t>
      </w:r>
      <w:r>
        <w:rPr>
          <w:bCs/>
          <w:b/>
        </w:rPr>
        <w:t xml:space="preserve">application/API security</w:t>
      </w:r>
      <w:r>
        <w:t xml:space="preserve">,</w:t>
      </w:r>
      <w:r>
        <w:t xml:space="preserve"> </w:t>
      </w:r>
      <w:r>
        <w:rPr>
          <w:bCs/>
          <w:b/>
        </w:rPr>
        <w:t xml:space="preserve">cloud configuration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incident readiness</w:t>
      </w:r>
      <w:r>
        <w:t xml:space="preserve">. None of these require large capital — they require a</w:t>
      </w:r>
      <w:r>
        <w:t xml:space="preserve"> </w:t>
      </w:r>
      <w:r>
        <w:t xml:space="preserve">formalized security program, which is also a direct</w:t>
      </w:r>
      <w:r>
        <w:t xml:space="preserve"> </w:t>
      </w:r>
      <w:r>
        <w:rPr>
          <w:bCs/>
          <w:b/>
        </w:rPr>
        <w:t xml:space="preserve">GLBA Safeguards Rule</w:t>
      </w:r>
      <w:r>
        <w:t xml:space="preserve"> </w:t>
      </w:r>
      <w:r>
        <w:t xml:space="preserve">obligation. The four Critical risks should be remediated within 30–60 days.</w:t>
      </w:r>
    </w:p>
    <w:p>
      <w:pPr>
        <w:pStyle w:val="CaptionedFigure"/>
      </w:pPr>
      <w:r>
        <w:drawing>
          <wp:inline>
            <wp:extent cx="5334000" cy="4324864"/>
            <wp:effectExtent b="0" l="0" r="0" t="0"/>
            <wp:docPr descr="Residual Risk Heatmap" title="" id="37" name="Picture"/>
            <a:graphic>
              <a:graphicData uri="http://schemas.openxmlformats.org/drawingml/2006/picture">
                <pic:pic>
                  <pic:nvPicPr>
                    <pic:cNvPr descr="/tmp/claude-0/-home-claude/a28da9bd-0836-539f-9d46-518f6e1f006f/scratchpad/grc-portfolio/grc-risk-assessment-fintech/outputs/risk-heatmap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Residual Risk Heatmap</w:t>
      </w:r>
    </w:p>
    <w:bookmarkEnd w:id="39"/>
    <w:bookmarkStart w:id="40" w:name="top-risks-and-recommended-treatment"/>
    <w:p>
      <w:pPr>
        <w:pStyle w:val="Heading2"/>
      </w:pPr>
      <w:r>
        <w:t xml:space="preserve">2. Top risks and recommended treatment</w:t>
      </w:r>
    </w:p>
    <w:p>
      <w:pPr>
        <w:pStyle w:val="FirstParagraph"/>
      </w:pPr>
      <w:r>
        <w:t xml:space="preserve">The four Critical residual risks (score 15) are the priority: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848"/>
        <w:gridCol w:w="1414"/>
        <w:gridCol w:w="2262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enforced MFA on admin/SSO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phished admin credential compromises every system; #1 breach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phishing-resistant MFA on all admin and SSO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Insecure customer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 expose regulated financial data directly to the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+ authorization checks, rate limiting, WAF, API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Public/misconfigured cloud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misconfigured bucket can leak the full customer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Public Access, deploy CSPM, scan IaC pre-deploy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incident response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breach without a plan multiplies cost, downtime, and regulatory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IR plan, roles/runbooks, annual tabletop</w:t>
            </w:r>
          </w:p>
        </w:tc>
      </w:tr>
    </w:tbl>
    <w:p>
      <w:pPr>
        <w:pStyle w:val="BodyText"/>
      </w:pPr>
      <w:r>
        <w:t xml:space="preserve">The six High risks (R01, R07, R09, R12 at score 12; plus others) follow on a</w:t>
      </w:r>
      <w:r>
        <w:t xml:space="preserve"> </w:t>
      </w:r>
      <w:r>
        <w:t xml:space="preserve">60–90 day timeline and are listed in</w:t>
      </w:r>
      <w:r>
        <w:t xml:space="preserve"> </w:t>
      </w:r>
      <w:r>
        <w:rPr>
          <w:rStyle w:val="VerbatimChar"/>
        </w:rPr>
        <w:t xml:space="preserve">outputs/risk-register-scored.csv</w:t>
      </w:r>
      <w:r>
        <w:t xml:space="preserve">.</w:t>
      </w:r>
    </w:p>
    <w:bookmarkEnd w:id="40"/>
    <w:bookmarkStart w:id="41" w:name="X8e0540ef59697de5931519f8835feed9c79e5bd"/>
    <w:p>
      <w:pPr>
        <w:pStyle w:val="Heading2"/>
      </w:pPr>
      <w:r>
        <w:t xml:space="preserve">3. The quantitative view (why this gets funded)</w:t>
      </w:r>
    </w:p>
    <w:p>
      <w:pPr>
        <w:pStyle w:val="FirstParagraph"/>
      </w:pPr>
      <w:r>
        <w:t xml:space="preserve">For R03 (insecure API), a qualitative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rating is translated into money so</w:t>
      </w:r>
      <w:r>
        <w:t xml:space="preserve"> </w:t>
      </w:r>
      <w:r>
        <w:t xml:space="preserve">leadership can weigh control cost against risk reduction: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5"/>
        <w:gridCol w:w="3283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Loss Expectancy (SLE)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Annualized Rate of Occurrence (ARO)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 / 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/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Annualized Loss Expectancy (ALE)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$480,000 / yr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$120,000 / yr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Modeled risk reduction ≈ $360,000/yr</w:t>
      </w:r>
      <w:r>
        <w:t xml:space="preserve"> </w:t>
      </w:r>
      <w:r>
        <w:t xml:space="preserve">against a control cost (API gateway, WAF,</w:t>
      </w:r>
      <w:r>
        <w:t xml:space="preserve"> </w:t>
      </w:r>
      <w:r>
        <w:t xml:space="preserve">engineering time) well below that — the investment is justified on expected-value</w:t>
      </w:r>
      <w:r>
        <w:t xml:space="preserve"> </w:t>
      </w:r>
      <w:r>
        <w:t xml:space="preserve">grounds. (Figures illustrative; see methodology §4.)</w:t>
      </w:r>
    </w:p>
    <w:bookmarkEnd w:id="41"/>
    <w:bookmarkStart w:id="42" w:name="X54eed47db07159c6d62663584fbb9e3df1f9f49"/>
    <w:p>
      <w:pPr>
        <w:pStyle w:val="Heading2"/>
      </w:pPr>
      <w:r>
        <w:t xml:space="preserve">4. Findings mapped to NIST CSF 2.0 functions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5"/>
        <w:gridCol w:w="2527"/>
        <w:gridCol w:w="37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of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GV</w:t>
            </w:r>
            <w:r>
              <w:t xml:space="preserve"> </w:t>
            </w:r>
            <w:r>
              <w:t xml:space="preserve">Govern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written security program; no vendor risk mgmt; no risk-assessment cadence (GLBA 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R07, R11, R14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  <w:r>
              <w:t xml:space="preserve"> </w:t>
            </w:r>
            <w:r>
              <w:t xml:space="preserve">Identify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asset inventory; no vulnerability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R12, R14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</w:t>
            </w:r>
            <w:r>
              <w:t xml:space="preserve"> </w:t>
            </w:r>
            <w:r>
              <w:t xml:space="preserve">Protect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enforced MFA; weak API security; inconsistent encryption; cloud misconfig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R01–R06, R08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</w:t>
            </w:r>
            <w:r>
              <w:t xml:space="preserve"> </w:t>
            </w:r>
            <w:r>
              <w:t xml:space="preserve">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centralized logging/SIEM; limited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</w:t>
            </w:r>
            <w:r>
              <w:t xml:space="preserve"> </w:t>
            </w:r>
            <w:r>
              <w:t xml:space="preserve">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incident response plan or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</w:t>
            </w:r>
            <w:r>
              <w:t xml:space="preserve"> </w:t>
            </w:r>
            <w:r>
              <w:t xml:space="preserve">Recover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 backups; no DR/BCP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R04, R13</w:t>
            </w:r>
          </w:p>
        </w:tc>
      </w:tr>
    </w:tbl>
    <w:p>
      <w:pPr>
        <w:pStyle w:val="BodyText"/>
      </w:pPr>
      <w:r>
        <w:t xml:space="preserve">The spread across all six functions is itself the finding: NorthStar has point</w:t>
      </w:r>
      <w:r>
        <w:t xml:space="preserve"> </w:t>
      </w:r>
      <w:r>
        <w:t xml:space="preserve">tools but</w:t>
      </w:r>
      <w:r>
        <w:t xml:space="preserve"> </w:t>
      </w:r>
      <w:r>
        <w:rPr>
          <w:bCs/>
          <w:b/>
        </w:rPr>
        <w:t xml:space="preserve">no program</w:t>
      </w:r>
      <w:r>
        <w:t xml:space="preserve">. The remediation roadmap therefore leads with governance.</w:t>
      </w:r>
    </w:p>
    <w:bookmarkEnd w:id="42"/>
    <w:bookmarkStart w:id="43" w:name="remediation-roadmap"/>
    <w:p>
      <w:pPr>
        <w:pStyle w:val="Heading2"/>
      </w:pPr>
      <w:r>
        <w:t xml:space="preserve">5. Remediation roadmap</w:t>
      </w:r>
    </w:p>
    <w:p>
      <w:pPr>
        <w:pStyle w:val="FirstParagraph"/>
      </w:pPr>
      <w:r>
        <w:rPr>
          <w:bCs/>
          <w:b/>
        </w:rPr>
        <w:t xml:space="preserve">Phase 1 — 0–60 days (Critical):</w:t>
      </w:r>
      <w:r>
        <w:t xml:space="preserve"> </w:t>
      </w:r>
      <w:r>
        <w:t xml:space="preserve">Enforce MFA (R02); secure APIs (R03); lock down</w:t>
      </w:r>
      <w:r>
        <w:t xml:space="preserve"> </w:t>
      </w:r>
      <w:r>
        <w:t xml:space="preserve">cloud storage with Block Public Access + CSPM (R06); write and socialize an incident</w:t>
      </w:r>
      <w:r>
        <w:t xml:space="preserve"> </w:t>
      </w:r>
      <w:r>
        <w:t xml:space="preserve">response plan (R10). In parallel, stand up the</w:t>
      </w:r>
      <w:r>
        <w:t xml:space="preserve"> </w:t>
      </w:r>
      <w:r>
        <w:rPr>
          <w:bCs/>
          <w:b/>
        </w:rPr>
        <w:t xml:space="preserve">written information security program</w:t>
      </w:r>
      <w:r>
        <w:rPr>
          <w:bCs/>
          <w:b/>
        </w:rPr>
        <w:t xml:space="preserve"> </w:t>
      </w:r>
      <w:r>
        <w:rPr>
          <w:bCs/>
          <w:b/>
        </w:rPr>
        <w:t xml:space="preserve">and designate a Qualified Individual</w:t>
      </w:r>
      <w:r>
        <w:t xml:space="preserve"> </w:t>
      </w:r>
      <w:r>
        <w:t xml:space="preserve">(R11) — the GLBA foundation everything else</w:t>
      </w:r>
      <w:r>
        <w:t xml:space="preserve"> </w:t>
      </w:r>
      <w:r>
        <w:t xml:space="preserve">hangs on.</w:t>
      </w:r>
    </w:p>
    <w:p>
      <w:pPr>
        <w:pStyle w:val="BodyText"/>
      </w:pPr>
      <w:r>
        <w:rPr>
          <w:bCs/>
          <w:b/>
        </w:rPr>
        <w:t xml:space="preserve">Phase 2 — 60–120 days (High):</w:t>
      </w:r>
      <w:r>
        <w:t xml:space="preserve"> </w:t>
      </w:r>
      <w:r>
        <w:t xml:space="preserve">Centralized logging/SIEM (R09); vulnerability</w:t>
      </w:r>
      <w:r>
        <w:t xml:space="preserve"> </w:t>
      </w:r>
      <w:r>
        <w:t xml:space="preserve">management with patch SLAs (R12); vendor risk program (R07); phishing-resistant MFA</w:t>
      </w:r>
      <w:r>
        <w:t xml:space="preserve"> </w:t>
      </w:r>
      <w:r>
        <w:t xml:space="preserve">rollout to all staff + simulations (R01).</w:t>
      </w:r>
    </w:p>
    <w:p>
      <w:pPr>
        <w:pStyle w:val="BodyText"/>
      </w:pPr>
      <w:r>
        <w:rPr>
          <w:bCs/>
          <w:b/>
        </w:rPr>
        <w:t xml:space="preserve">Phase 3 — 120–180 days (Moderate + maturity):</w:t>
      </w:r>
      <w:r>
        <w:t xml:space="preserve"> </w:t>
      </w:r>
      <w:r>
        <w:t xml:space="preserve">Least privilege and access reviews</w:t>
      </w:r>
      <w:r>
        <w:t xml:space="preserve"> </w:t>
      </w:r>
      <w:r>
        <w:t xml:space="preserve">(R08); org-wide encryption enforcement (R05); DR/BCP with tested restores (R13);</w:t>
      </w:r>
      <w:r>
        <w:t xml:space="preserve"> </w:t>
      </w:r>
      <w:r>
        <w:t xml:space="preserve">SaaS discovery and asset inventory (R14). Re-run this assessment to measure residual</w:t>
      </w:r>
      <w:r>
        <w:t xml:space="preserve"> </w:t>
      </w:r>
      <w:r>
        <w:t xml:space="preserve">risk reduction.</w:t>
      </w:r>
    </w:p>
    <w:bookmarkEnd w:id="43"/>
    <w:bookmarkStart w:id="44" w:name="how-to-reproduce"/>
    <w:p>
      <w:pPr>
        <w:pStyle w:val="Heading2"/>
      </w:pPr>
      <w:r>
        <w:t xml:space="preserve">6. How to reproduce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scripts/requirements.txt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scripts/risk_scoring.py</w:t>
      </w:r>
      <w:r>
        <w:br/>
      </w:r>
      <w:r>
        <w:rPr>
          <w:rStyle w:val="CommentTok"/>
        </w:rPr>
        <w:t xml:space="preserve"># regenerates outputs/: scored register, heatmap, and summary</w:t>
      </w:r>
    </w:p>
    <w:bookmarkEnd w:id="44"/>
    <w:bookmarkStart w:id="45" w:name="sources-standards-referenced"/>
    <w:p>
      <w:pPr>
        <w:pStyle w:val="Heading2"/>
      </w:pPr>
      <w:r>
        <w:t xml:space="preserve">7. Sources &amp; standards referenced</w:t>
      </w:r>
    </w:p>
    <w:p>
      <w:pPr>
        <w:numPr>
          <w:ilvl w:val="0"/>
          <w:numId w:val="1005"/>
        </w:numPr>
        <w:pStyle w:val="Compact"/>
      </w:pPr>
      <w:r>
        <w:t xml:space="preserve">NIST Cybersecurity Framework (CSF) 2.0</w:t>
      </w:r>
    </w:p>
    <w:p>
      <w:pPr>
        <w:numPr>
          <w:ilvl w:val="0"/>
          <w:numId w:val="1005"/>
        </w:numPr>
        <w:pStyle w:val="Compact"/>
      </w:pPr>
      <w:r>
        <w:t xml:space="preserve">NIST SP 800-30 Rev. 1 — Guide for Conducting Risk Assessments</w:t>
      </w:r>
    </w:p>
    <w:p>
      <w:pPr>
        <w:numPr>
          <w:ilvl w:val="0"/>
          <w:numId w:val="1005"/>
        </w:numPr>
        <w:pStyle w:val="Compact"/>
      </w:pPr>
      <w:r>
        <w:t xml:space="preserve">FTC Safeguards Rule, 16 CFR Part 314 (GLBA)</w:t>
      </w:r>
    </w:p>
    <w:p>
      <w:pPr>
        <w:numPr>
          <w:ilvl w:val="0"/>
          <w:numId w:val="1005"/>
        </w:numPr>
        <w:pStyle w:val="Compact"/>
      </w:pPr>
      <w:r>
        <w:t xml:space="preserve">NIST SP 800-53 Rev. 5 and CIS Controls v8 (control references; see Project 2 crosswalk)</w:t>
      </w:r>
    </w:p>
    <w:p>
      <w:r>
        <w:pict>
          <v:rect style="width:0;height:1.5pt" o:hralign="center" o:hrstd="t" o:hr="t"/>
        </w:pic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2026-10-23T04:31:00Z</dcterms:created>
  <dcterms:modified xsi:type="dcterms:W3CDTF">2026-10-23T04:31:00Z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