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ompany-scenario-northstar-lending-inc."/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Company Scenario — NorthStar Lending, Inc.</w:t>
      </w:r>
    </w:p>
    <w:p>
      <w:pPr>
        <w:pStyle w:val="BlockText"/>
      </w:pPr>
      <w:r>
        <w:rPr>
          <w:rFonts w:ascii="Times New Roman" w:hAnsi="Times New Roman" w:eastAsia="Times New Roman" w:cs="Times New Roman"/>
          <w:bCs/>
          <w:b/>
        </w:rPr>
        <w:t xml:space="preserve">Portfolio note: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NorthStar Lending is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iCs/>
          <w:i/>
        </w:rPr>
        <w:t xml:space="preserve">fictional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company created for this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lab project. All systems, data, and findings are invented to demonstrate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realistic GRC risk-assessment workflow. No real company or data is involved.</w:t>
      </w:r>
    </w:p>
    <w:bookmarkStart w:id="20" w:name="business-overview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 Business overview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NorthStar Lending,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Financial services / fintech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Business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Online small-business lending and ACH payment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Headquarters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Dallas, TX (remote-first workforce)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~50 employees; ~8,000 active small-business borrowers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Cloud-native (AWS); SaaS-heavy (Google Workspace, Salesforce, Slack)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Public/private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Privately held, venture-backed</w:t>
            </w:r>
          </w:p>
        </w:tc>
      </w:tr>
    </w:tbl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NorthStar lets small businesses apply for working-capital loans through a web 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mobile portal, pulls bank and credit data to underwrite, and disburses/collects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funds via ACH. It is scaling quickly and signing larger customers who now demand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evidence of a security program (SOC 2, security questionnaires).</w:t>
      </w:r>
    </w:p>
    <w:bookmarkEnd w:id="20"/>
    <w:bookmarkStart w:id="21" w:name="X39154e2c668d6295160c88872c2954c4ecce608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2. Why this company has real compliance drivers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Because NorthStar handles consumers’ and businesses’ financial data, several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obligations apply. These are 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why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behind every risk in the register: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GLBA Safeguards Rule (FTC, 16 CFR 314):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As a non-bank financial institution,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NorthStar must maintain a written information security program, designate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qualified individual, perform periodic risk assessments, and implement specific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safeguards (access controls, encryption, MFA, logging, incident response).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PCI DSS: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portion of repayments are made by debit/credit card, bringing 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cardholder-data environment into scope.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SOC 2 (Trust Services Criteria):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Enterprise customers require a SOC 2 Type 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report before signing; this drives most of the control expectations.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FFIEC / state lending regulation: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As a lender and money-movement business,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NorthStar is subject to examination expectations and state licensing conditions.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State privacy &amp; breach-notification laws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(e.g., Texas, plus every state where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borrowers reside).</w:t>
      </w:r>
    </w:p>
    <w:p>
      <w:pPr>
        <w:pStyle w:val="BlockText"/>
      </w:pPr>
      <w:r>
        <w:rPr>
          <w:rFonts w:ascii="Times New Roman" w:hAnsi="Times New Roman" w:eastAsia="Times New Roman" w:cs="Times New Roman"/>
          <w:bCs/>
          <w:b/>
        </w:rPr>
        <w:t xml:space="preserve">Framework choice: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This assessment uses 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NIST Cybersecurity Framework</w:t>
      </w:r>
      <w:r>
        <w:rPr>
          <w:rFonts w:ascii="Times New Roman" w:hAnsi="Times New Roman" w:eastAsia="Times New Roman" w:cs="Times New Roman"/>
          <w:bCs/>
          <w:b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(CSF) 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as the organizing backbone, because it is control-neutral, maps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cleanly to GLBA/FFIEC expectations, and crosswalks to the controls a SOC 2 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ISO 27001 effort would require (see Project 2 — Controls Crosswalk).</w:t>
      </w:r>
    </w:p>
    <w:bookmarkEnd w:id="21"/>
    <w:bookmarkStart w:id="22" w:name="scope-of-the-assessment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3. Scope of the assessment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Cs/>
          <w:b/>
        </w:rPr>
        <w:t xml:space="preserve">In scope: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the systems that store, process, or transmit customer financial data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and the controls that protect them.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2534"/>
        <w:gridCol w:w="2059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Asset /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Data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Borrower loan portal (web/mobile)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Customer-facing application and APIs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High — PII, financial,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Underwriting platform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Pulls bank/credit data, scores applicants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High — PII, SSN, bank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ACH / payments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Initiates disbursements and collections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High — bank account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Customer database (AWS 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System of record for borrowers and loans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High — PII, financial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Cloud storage (AWS S3)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Documents, statements, exports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High — PII, financial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Corporate SaaS (Workspace, Salesforce, Slack)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Email, CRM, collaboration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Medium — PII, internal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Employee endpoints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Laptops used by remote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Medium — access to all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Identity provider (SSO)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Authentication to all systems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High — keys to the kingdom</w:t>
            </w:r>
          </w:p>
        </w:tc>
      </w:tr>
    </w:tbl>
    <w:p>
      <w:pPr>
        <w:pStyle w:val="BodyText"/>
      </w:pPr>
      <w:r>
        <w:rPr>
          <w:rFonts w:ascii="Times New Roman" w:hAnsi="Times New Roman" w:eastAsia="Times New Roman" w:cs="Times New Roman"/>
          <w:bCs/>
          <w:b/>
        </w:rPr>
        <w:t xml:space="preserve">Out of scope for this iteration: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physical security of the (minimal) office,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and the HR/benefits systems that do not touch customer financial data.</w:t>
      </w:r>
    </w:p>
    <w:bookmarkEnd w:id="22"/>
    <w:bookmarkStart w:id="23" w:name="data-types-handled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4. Data types handled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Customer PII: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names, addresses, dates of birth, Social Security Numbers,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Employer Identification Numbers.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Financial data: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bank account and routing numbers, card data, credit reports,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loan balances and history.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Credentials &amp; secrets: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customer portal logins, employee SSO, API keys.</w:t>
      </w:r>
    </w:p>
    <w:bookmarkEnd w:id="23"/>
    <w:bookmarkStart w:id="24" w:name="X64938e6769776a43e68cf1781b1309479aefcf4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 How this scenario feeds the rest of the project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The business context above determines, for each risk: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how likely a threat is to materialize (threat environment for a fintech), 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how large the impact would be (regulatory, financial, and reputational, given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the data types and obligations listed).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Those two judgments are what 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risk register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rStyle w:val="VerbatimChar"/>
        </w:rPr>
        <w:t xml:space="preserve">data/risk-register.csv</w:t>
      </w:r>
      <w:r>
        <w:rPr>
          <w:rFonts w:ascii="Times New Roman" w:hAnsi="Times New Roman" w:eastAsia="Times New Roman" w:cs="Times New Roman"/>
        </w:rPr>
        <w:t xml:space="preserve">) 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scoring model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rStyle w:val="VerbatimChar"/>
        </w:rPr>
        <w:t xml:space="preserve">scripts/risk_scoring.py</w:t>
      </w:r>
      <w:r>
        <w:rPr>
          <w:rFonts w:ascii="Times New Roman" w:hAnsi="Times New Roman" w:eastAsia="Times New Roman" w:cs="Times New Roman"/>
        </w:rPr>
        <w:t xml:space="preserve">) turn into prioritized, defensible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numbers in 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risk assessment report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rStyle w:val="VerbatimChar"/>
        </w:rPr>
        <w:t xml:space="preserve">docs/03-risk-assessment-report.md</w:t>
      </w:r>
      <w:r>
        <w:rPr>
          <w:rFonts w:ascii="Times New Roman" w:hAnsi="Times New Roman" w:eastAsia="Times New Roman" w:cs="Times New Roman"/>
        </w:rPr>
        <w:t xml:space="preserve">).</w:t>
      </w:r>
    </w:p>
    <w:p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4"/>
    <w:bookmarkEnd w:id="25"/>
    <w:bookmarkStart w:id="34" w:name="risk-assessment-methodology"/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Risk Assessment Methodology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This assessment uses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semi-quantitative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model for all risks, plus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quantitative (annualized loss) layer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for the highest-priority risks. 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approach aligns with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NIST SP 800-30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(Guide for Conducting Risk Assessments)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and the risk-assessment expectation of 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GLBA Safeguards Rule</w:t>
      </w:r>
      <w:r>
        <w:rPr>
          <w:rFonts w:ascii="Times New Roman" w:hAnsi="Times New Roman" w:eastAsia="Times New Roman" w:cs="Times New Roman"/>
        </w:rPr>
        <w:t xml:space="preserve">.</w:t>
      </w:r>
    </w:p>
    <w:bookmarkStart w:id="29" w:name="risk-model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 Risk model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For each risk we assess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inherent risk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(before considering controls) 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residual risk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(after existing controls), so the register shows both the raw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exposure and what current controls actually buy down.</w:t>
      </w:r>
    </w:p>
    <w:p>
      <w:pPr>
        <w:pStyle w:val="SourceCode"/>
      </w:pPr>
      <w:r>
        <w:rPr>
          <w:rFonts w:ascii="Times New Roman" w:hAnsi="Times New Roman" w:eastAsia="Times New Roman" w:cs="Times New Roman"/>
          <w:rStyle w:val="VerbatimChar"/>
        </w:rPr>
        <w:t xml:space="preserve">Risk Score = Likelihood  ×  Impact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Both factors use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1–5 scale</w:t>
      </w:r>
      <w:r>
        <w:rPr>
          <w:rFonts w:ascii="Times New Roman" w:hAnsi="Times New Roman" w:eastAsia="Times New Roman" w:cs="Times New Roman"/>
        </w:rPr>
        <w:t xml:space="preserve">. Scores range from 1 to 25 and are banded into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qualitative levels for reporting and prioritization.</w:t>
      </w:r>
    </w:p>
    <w:bookmarkStart w:id="26" w:name="likelihood-scale"/>
    <w:p>
      <w:pPr>
        <w:pStyle w:val="Heading3"/>
      </w:pPr>
      <w:r>
        <w:rPr>
          <w:rFonts w:ascii="Times New Roman" w:hAnsi="Times New Roman" w:eastAsia="Times New Roman" w:cs="Times New Roman"/>
        </w:rPr>
        <w:t xml:space="preserve">1.1 Likelihood scale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Meaning (annualized)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Not expected in a multi-year horizon (&lt; ~5%/yr)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Unlikely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Could occur but not expected (~5–20%/yr)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Might occur at some point (~20–50%/yr)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Likely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Expected to occur (~50–80%/yr)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Almost certain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Expected to occur repeatedly (&gt; ~80%/yr)</w:t>
            </w:r>
          </w:p>
        </w:tc>
      </w:tr>
    </w:tbl>
    <w:bookmarkEnd w:id="26"/>
    <w:bookmarkStart w:id="27" w:name="impact-scale"/>
    <w:p>
      <w:pPr>
        <w:pStyle w:val="Heading3"/>
      </w:pPr>
      <w:r>
        <w:rPr>
          <w:rFonts w:ascii="Times New Roman" w:hAnsi="Times New Roman" w:eastAsia="Times New Roman" w:cs="Times New Roman"/>
        </w:rPr>
        <w:t xml:space="preserve">1.2 Impact scale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Impact is rated on 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worst plausible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outcome across three dimensions 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financial, regulatory/legal, and reputational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reflecting NorthStar’s data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and obligations.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32"/>
        <w:gridCol w:w="1408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Example impact for NorthStar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Insignificant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Minor internal disruption; no data or regulatory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Minor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Limited disruption; easily remediated; no reportable data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Localized data exposure; customer notification; recoverable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Major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Breach of regulated financial data; regulatory scrutiny; material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Severe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Large-scale breach of SSN/bank data; GLBA enforcement; existential cost</w:t>
            </w:r>
          </w:p>
        </w:tc>
      </w:tr>
    </w:tbl>
    <w:bookmarkEnd w:id="27"/>
    <w:bookmarkStart w:id="28" w:name="risk-level-bands"/>
    <w:p>
      <w:pPr>
        <w:pStyle w:val="Heading3"/>
      </w:pPr>
      <w:r>
        <w:rPr>
          <w:rFonts w:ascii="Times New Roman" w:hAnsi="Times New Roman" w:eastAsia="Times New Roman" w:cs="Times New Roman"/>
        </w:rPr>
        <w:t xml:space="preserve">1.3 Risk level bands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Score (L × 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Action expectation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1–4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Accept /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Plan remediation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10–14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Remediate on a defined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15–25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Remediate urgently; escalate to leadership</w:t>
            </w:r>
          </w:p>
        </w:tc>
      </w:tr>
    </w:tbl>
    <w:bookmarkEnd w:id="28"/>
    <w:bookmarkEnd w:id="29"/>
    <w:bookmarkStart w:id="30" w:name="control-effectiveness-residual-risk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2. Control effectiveness → residual risk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Existing controls reduce likelihood, impact, or both. Each risk records 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current controls and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control-effectiveness rating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that justifies 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residual scores: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27"/>
        <w:gridCol w:w="41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No meaningful control in 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Partial/ad-hoc control; easily bypassed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Control exists but has gaps or isn’t consistently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Well-designed, consistently operating control</w:t>
            </w:r>
          </w:p>
        </w:tc>
      </w:tr>
    </w:tbl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Residual likelihood and impact are re-rated on the same 1–5 scales given those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controls.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Residual risk is what drives the treatment decision.</w:t>
      </w:r>
    </w:p>
    <w:bookmarkEnd w:id="30"/>
    <w:bookmarkStart w:id="31" w:name="risk-treatment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3. Risk treatment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Each risk is assigned one of the four standard treatments (per ISO 31000 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NIST 800-30):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Mitigate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add or strengthen controls to reduce the risk.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Transfer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shift risk via insurance or contractual terms.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Avoid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stop the activity that creates the risk.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Accept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formally accept the residual risk (documented, owner sign-off).</w:t>
      </w:r>
    </w:p>
    <w:bookmarkEnd w:id="31"/>
    <w:bookmarkStart w:id="32" w:name="Xc537e031ca689e0ecbd3495b975ccccf0beb765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4. Quantitative layer (top risks) — the finance view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For the highest-residual risks, a qualitative score isn’t enough to justify spend.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We add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single-loss / annualized-loss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estimate so leadership can compare 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cost of a control to the risk it reduces — the same expected-value logic used 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financial analysis.</w:t>
      </w:r>
    </w:p>
    <w:p>
      <w:pPr>
        <w:pStyle w:val="SourceCode"/>
      </w:pPr>
      <w:r>
        <w:rPr>
          <w:rFonts w:ascii="Times New Roman" w:hAnsi="Times New Roman" w:eastAsia="Times New Roman" w:cs="Times New Roman"/>
          <w:rStyle w:val="VerbatimChar"/>
        </w:rPr>
        <w:t xml:space="preserve">SLE  (Single Loss Expectancy)      = Asset Value × Exposure Factor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  <w:rStyle w:val="VerbatimChar"/>
        </w:rPr>
        <w:t xml:space="preserve">ALE  (Annualized Loss Expectancy)  = SLE × ARO (Annualized Rate of Occurrence)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  <w:rStyle w:val="VerbatimChar"/>
        </w:rPr>
        <w:t xml:space="preserve">Risk-reduction value of a control  = ALE(before) − ALE(after)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Where: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Exposure Factor (EF):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the fraction of the asset’s value lost if the event occurs.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ARO: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how many times per year the event is expected (derived from 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likelihood rating, e.g.,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Possible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0.35/yr).</w:t>
      </w:r>
    </w:p>
    <w:p>
      <w:pPr>
        <w:pStyle w:val="BlockText"/>
      </w:pPr>
      <w:r>
        <w:rPr>
          <w:rFonts w:ascii="Times New Roman" w:hAnsi="Times New Roman" w:eastAsia="Times New Roman" w:cs="Times New Roman"/>
          <w:bCs/>
          <w:b/>
        </w:rPr>
        <w:t xml:space="preserve">Worked example (Risk R03 — insecure API exposing customer data):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Estimated loss per breach event (notification, regulatory, remediation,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churn)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SLE = $1,200,000</w:t>
      </w:r>
      <w:r>
        <w:rPr>
          <w:rFonts w:ascii="Times New Roman" w:hAnsi="Times New Roman" w:eastAsia="Times New Roman" w:cs="Times New Roman"/>
        </w:rPr>
        <w:t xml:space="preserve">; estimated frequency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ARO = 0.4/yr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ALE ≈ $480,000/yr</w:t>
      </w:r>
      <w:r>
        <w:rPr>
          <w:rFonts w:ascii="Times New Roman" w:hAnsi="Times New Roman" w:eastAsia="Times New Roman" w:cs="Times New Roman"/>
        </w:rPr>
        <w:t xml:space="preserve">. Implementing API authentication, rate-limiting, and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WAF is estimated to cut ARO to ~0.1/yr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ALE ≈ $120,000/yr</w:t>
      </w:r>
      <w:r>
        <w:rPr>
          <w:rFonts w:ascii="Times New Roman" w:hAnsi="Times New Roman" w:eastAsia="Times New Roman" w:cs="Times New Roman"/>
        </w:rPr>
        <w:t xml:space="preserve">, a modeled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risk reduction of ~$360,000/yr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against a control cost well under that.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The investment is justified on expected-value grounds.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These figures are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illustrative estimates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for a fictional company — the point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is 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iCs/>
          <w:i/>
        </w:rPr>
        <w:t xml:space="preserve">method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of translating a security risk into a financial decision, which 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how GRC earns a seat at the budget table.</w:t>
      </w:r>
    </w:p>
    <w:bookmarkEnd w:id="32"/>
    <w:bookmarkStart w:id="33" w:name="limitations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 Limitations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 w:eastAsia="Times New Roman" w:cs="Times New Roman"/>
        </w:rPr>
        <w:t xml:space="preserve">Likelihood and impact ratings are expert-judgment estimates, not actuarial data.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 w:eastAsia="Times New Roman" w:cs="Times New Roman"/>
        </w:rPr>
        <w:t xml:space="preserve">The quantitative layer uses modeled loss figures; a real program would refine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these with industry breach-cost data (e.g., IBM Cost of a Data Breach) 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internal financials.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 w:eastAsia="Times New Roman" w:cs="Times New Roman"/>
        </w:rPr>
        <w:t xml:space="preserve">This is a point-in-time assessment; risk should be re-assessed at least annually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and on major change (a GLBA expectation).</w:t>
      </w:r>
    </w:p>
    <w:p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33"/>
    <w:bookmarkEnd w:id="34"/>
    <w:bookmarkStart w:id="46" w:name="X2b7d4489ac53bbaa33d0d293cc73536cc4ca38e"/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Information Security Risk Assessment Report</w:t>
      </w:r>
    </w:p>
    <w:bookmarkStart w:id="35" w:name="northstar-lending-inc.-nist-csf-2.0"/>
    <w:p>
      <w:pPr>
        <w:pStyle w:val="Heading3"/>
      </w:pPr>
      <w:r>
        <w:rPr>
          <w:rFonts w:ascii="Times New Roman" w:hAnsi="Times New Roman" w:eastAsia="Times New Roman" w:cs="Times New Roman"/>
        </w:rPr>
        <w:t xml:space="preserve">NorthStar Lending, Inc. — NIST CSF 2.0</w:t>
      </w:r>
    </w:p>
    <w:p>
      <w:pPr>
        <w:pStyle w:val="BlockText"/>
      </w:pPr>
      <w:r>
        <w:rPr>
          <w:rFonts w:ascii="Times New Roman" w:hAnsi="Times New Roman" w:eastAsia="Times New Roman" w:cs="Times New Roman"/>
          <w:bCs/>
          <w:b/>
        </w:rPr>
        <w:t xml:space="preserve">Portfolio note: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NorthStar Lending is a fictional company. This report is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lab exercise demonstrating a GRC risk-assessment deliverable; all data is invented.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Cs/>
          <w:b/>
        </w:rPr>
        <w:t xml:space="preserve">Prepared by: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Salim Mbaye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Framework: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NIST Cybersecurity Framework (CSF) 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Method: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Semi-quantitative (NIST SP 800-30), with an annualized-loss layer for top risks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Date: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October 20th, 2026</w:t>
      </w:r>
    </w:p>
    <w:p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35"/>
    <w:bookmarkStart w:id="39" w:name="executive-summary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 Executive summary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NorthStar Lending, a fintech handling customer financial data (PII, SSNs, bank 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card data), was assessed against the NIST CSF 2.0. Fourteen risks were identified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and scored for inherent and residual exposure.</w:t>
      </w:r>
    </w:p>
    <w:p>
      <w:pPr>
        <w:pStyle w:val="BodyText"/>
      </w:pPr>
      <w:r>
        <w:rPr>
          <w:rFonts w:ascii="Times New Roman" w:hAnsi="Times New Roman" w:eastAsia="Times New Roman" w:cs="Times New Roman"/>
          <w:bCs/>
          <w:b/>
        </w:rPr>
        <w:t xml:space="preserve">Headline results (residual, after existing controls):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Residual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The organization carries meaningful unmitigated risk concentrated 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identity and</w:t>
      </w:r>
      <w:r>
        <w:rPr>
          <w:rFonts w:ascii="Times New Roman" w:hAnsi="Times New Roman" w:eastAsia="Times New Roman" w:cs="Times New Roman"/>
          <w:bCs/>
          <w:b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access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(no enforced MFA),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application/API security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cloud configuration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incident readiness</w:t>
      </w:r>
      <w:r>
        <w:rPr>
          <w:rFonts w:ascii="Times New Roman" w:hAnsi="Times New Roman" w:eastAsia="Times New Roman" w:cs="Times New Roman"/>
        </w:rPr>
        <w:t xml:space="preserve">. None of these require large capital — they require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formalized security program, which is also a direct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GLBA Safeguards Rule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obligation. The four Critical risks should be remediated within 30–60 days.</w:t>
      </w:r>
    </w:p>
    <w:p>
      <w:pPr>
        <w:pStyle w:val="CaptionedFigure"/>
      </w:pPr>
      <w:r>
        <w:rPr>
          <w:rFonts w:ascii="Times New Roman" w:hAnsi="Times New Roman" w:eastAsia="Times New Roman" w:cs="Times New Roman"/>
        </w:rPr>
        <w:drawing>
          <wp:inline>
            <wp:extent cx="5334000" cy="4324864"/>
            <wp:effectExtent b="0" l="0" r="0" t="0"/>
            <wp:docPr descr="Residual Risk Heatmap" title="" id="37" name="Picture"/>
            <a:graphic>
              <a:graphicData uri="http://schemas.openxmlformats.org/drawingml/2006/picture">
                <pic:pic>
                  <pic:nvPicPr>
                    <pic:cNvPr descr="/tmp/claude-0/-home-claude/a28da9bd-0836-539f-9d46-518f6e1f006f/scratchpad/grc-portfolio/grc-risk-assessment-fintech/outputs/risk-heatmap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4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Residual Risk Heatmap</w:t>
      </w:r>
    </w:p>
    <w:bookmarkEnd w:id="39"/>
    <w:bookmarkStart w:id="40" w:name="top-risks-and-recommended-treatment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2. Top risks and recommended treatment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The four Critical residual risks (score 15) are the priority: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848"/>
        <w:gridCol w:w="1414"/>
        <w:gridCol w:w="2262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Why it matters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Recommended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No enforced MFA on admin/SSO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 single phished admin credential compromises every system; #1 breach cause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Enforce phishing-resistant MFA on all admin and SSO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Insecure customer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APIs expose regulated financial data directly to the internet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OAuth2 + authorization checks, rate limiting, WAF, API 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Public/misconfigured cloud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 single misconfigured bucket can leak the full customer dataset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Block Public Access, deploy CSPM, scan IaC pre-deploy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No incident response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 breach without a plan multiplies cost, downtime, and regulatory exposure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Documented IR plan, roles/runbooks, annual tabletop</w:t>
            </w:r>
          </w:p>
        </w:tc>
      </w:tr>
    </w:tbl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The six High risks (R01, R07, R09, R12 at score 12; plus others) follow on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60–90 day timeline and are listed 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</w:rPr>
        <w:t xml:space="preserve">outputs/risk-register-scored.csv</w:t>
      </w:r>
      <w:r>
        <w:rPr>
          <w:rFonts w:ascii="Times New Roman" w:hAnsi="Times New Roman" w:eastAsia="Times New Roman" w:cs="Times New Roman"/>
        </w:rPr>
        <w:t xml:space="preserve">.</w:t>
      </w:r>
    </w:p>
    <w:bookmarkEnd w:id="40"/>
    <w:bookmarkStart w:id="41" w:name="X8e0540ef59697de5931519f8835feed9c79e5bd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3. The quantitative view (why this gets funded)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For R03 (insecure API), a qualitative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Critical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rating is translated into money 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leadership can weigh control cost against risk reduction: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45"/>
        <w:gridCol w:w="3283"/>
        <w:gridCol w:w="30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Before controls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After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Single Loss Expectancy (SLE)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$1,200,000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$1,200,000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Annualized Rate of Occurrence (ARO)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0.4 / yr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0.1 / 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Annualized Loss Expectancy (ALE)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$480,000 / yr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$120,000 / yr</w:t>
            </w:r>
          </w:p>
        </w:tc>
      </w:tr>
    </w:tbl>
    <w:p>
      <w:pPr>
        <w:pStyle w:val="BodyText"/>
      </w:pPr>
      <w:r>
        <w:rPr>
          <w:rFonts w:ascii="Times New Roman" w:hAnsi="Times New Roman" w:eastAsia="Times New Roman" w:cs="Times New Roman"/>
          <w:bCs/>
          <w:b/>
        </w:rPr>
        <w:t xml:space="preserve">Modeled risk reduction ≈ $360,000/yr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against a control cost (API gateway, WAF,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engineering time) well below that — the investment is justified on expected-value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grounds. (Figures illustrative; see methodology §4.)</w:t>
      </w:r>
    </w:p>
    <w:bookmarkEnd w:id="41"/>
    <w:bookmarkStart w:id="42" w:name="X54eed47db07159c6d62663584fbb9e3df1f9f49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4. Findings mapped to NIST CSF 2.0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85"/>
        <w:gridCol w:w="2527"/>
        <w:gridCol w:w="37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Theme of gaps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Representative risks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GV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Govern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No written security program; no vendor risk mgmt; no risk-assessment cadence (GLBA gap)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R07, R11, R14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Identify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Incomplete asset inventory; no vulnerability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R12, R14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Protect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No enforced MFA; weak API security; inconsistent encryption; cloud misconfig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R01–R06, R08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Detect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No centralized logging/SIEM; limited monitoring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RS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Respond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No incident response plan or testing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RC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Recover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Untested backups; no DR/BCP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R04, R13</w:t>
            </w:r>
          </w:p>
        </w:tc>
      </w:tr>
    </w:tbl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The spread across all six functions is itself the finding: NorthStar has point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tools but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no program</w:t>
      </w:r>
      <w:r>
        <w:rPr>
          <w:rFonts w:ascii="Times New Roman" w:hAnsi="Times New Roman" w:eastAsia="Times New Roman" w:cs="Times New Roman"/>
        </w:rPr>
        <w:t xml:space="preserve">. The remediation roadmap therefore leads with governance.</w:t>
      </w:r>
    </w:p>
    <w:bookmarkEnd w:id="42"/>
    <w:bookmarkStart w:id="43" w:name="remediation-roadmap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 Remediation roadmap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Cs/>
          <w:b/>
        </w:rPr>
        <w:t xml:space="preserve">Phase 1 — 0–60 days (Critical):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Enforce MFA (R02); secure APIs (R03); lock down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cloud storage with Block Public Access + CSPM (R06); write and socialize an incident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response plan (R10). In parallel, stand up 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written information security program</w:t>
      </w:r>
      <w:r>
        <w:rPr>
          <w:rFonts w:ascii="Times New Roman" w:hAnsi="Times New Roman" w:eastAsia="Times New Roman" w:cs="Times New Roman"/>
          <w:bCs/>
          <w:b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and designate a Qualified Individual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(R11) — the GLBA foundation everything else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hangs on.</w:t>
      </w:r>
    </w:p>
    <w:p>
      <w:pPr>
        <w:pStyle w:val="BodyText"/>
      </w:pPr>
      <w:r>
        <w:rPr>
          <w:rFonts w:ascii="Times New Roman" w:hAnsi="Times New Roman" w:eastAsia="Times New Roman" w:cs="Times New Roman"/>
          <w:bCs/>
          <w:b/>
        </w:rPr>
        <w:t xml:space="preserve">Phase 2 — 60–120 days (High):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Centralized logging/SIEM (R09); vulnerability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management with patch SLAs (R12); vendor risk program (R07); phishing-resistant MFA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rollout to all staff + simulations (R01).</w:t>
      </w:r>
    </w:p>
    <w:p>
      <w:pPr>
        <w:pStyle w:val="BodyText"/>
      </w:pPr>
      <w:r>
        <w:rPr>
          <w:rFonts w:ascii="Times New Roman" w:hAnsi="Times New Roman" w:eastAsia="Times New Roman" w:cs="Times New Roman"/>
          <w:bCs/>
          <w:b/>
        </w:rPr>
        <w:t xml:space="preserve">Phase 3 — 120–180 days (Moderate + maturity):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Least privilege and access reviews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(R08); org-wide encryption enforcement (R05); DR/BCP with tested restores (R13);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SaaS discovery and asset inventory (R14). Re-run this assessment to measure residual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risk reduction.</w:t>
      </w:r>
    </w:p>
    <w:bookmarkEnd w:id="43"/>
    <w:bookmarkStart w:id="44" w:name="how-to-reproduce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 How to reproduce</w:t>
      </w:r>
    </w:p>
    <w:p>
      <w:pPr>
        <w:pStyle w:val="SourceCode"/>
      </w:pPr>
      <w:r>
        <w:rPr>
          <w:rFonts w:ascii="Times New Roman" w:hAnsi="Times New Roman" w:eastAsia="Times New Roman" w:cs="Times New Roman"/>
          <w:rStyle w:val="ExtensionTok"/>
        </w:rPr>
        <w:t xml:space="preserve">pip</w:t>
      </w:r>
      <w:r>
        <w:rPr>
          <w:rFonts w:ascii="Times New Roman" w:hAnsi="Times New Roman" w:eastAsia="Times New Roman" w:cs="Times New Roman"/>
          <w:rStyle w:val="NormalTok"/>
        </w:rPr>
        <w:t xml:space="preserve"> install </w:t>
      </w:r>
      <w:r>
        <w:rPr>
          <w:rFonts w:ascii="Times New Roman" w:hAnsi="Times New Roman" w:eastAsia="Times New Roman" w:cs="Times New Roman"/>
          <w:rStyle w:val="AttributeTok"/>
        </w:rPr>
        <w:t xml:space="preserve">-r</w:t>
      </w:r>
      <w:r>
        <w:rPr>
          <w:rFonts w:ascii="Times New Roman" w:hAnsi="Times New Roman" w:eastAsia="Times New Roman" w:cs="Times New Roman"/>
          <w:rStyle w:val="NormalTok"/>
        </w:rPr>
        <w:t xml:space="preserve"> scripts/requirements.txt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  <w:rStyle w:val="ExtensionTok"/>
        </w:rPr>
        <w:t xml:space="preserve">python3</w:t>
      </w:r>
      <w:r>
        <w:rPr>
          <w:rFonts w:ascii="Times New Roman" w:hAnsi="Times New Roman" w:eastAsia="Times New Roman" w:cs="Times New Roman"/>
          <w:rStyle w:val="NormalTok"/>
        </w:rPr>
        <w:t xml:space="preserve"> scripts/risk_scoring.py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  <w:rStyle w:val="CommentTok"/>
        </w:rPr>
        <w:t xml:space="preserve"># regenerates outputs/: scored register, heatmap, and summary</w:t>
      </w:r>
    </w:p>
    <w:bookmarkEnd w:id="44"/>
    <w:bookmarkStart w:id="45" w:name="sources-standards-referenced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7. Sources &amp; standards referenced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 w:eastAsia="Times New Roman" w:cs="Times New Roman"/>
        </w:rPr>
        <w:t xml:space="preserve">NIST Cybersecurity Framework (CSF) 2.0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 w:eastAsia="Times New Roman" w:cs="Times New Roman"/>
        </w:rPr>
        <w:t xml:space="preserve">NIST SP 800-30 Rev. 1 — Guide for Conducting Risk Assessments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 w:eastAsia="Times New Roman" w:cs="Times New Roman"/>
        </w:rPr>
        <w:t xml:space="preserve">FTC Safeguards Rule, 16 CFR Part 314 (GLBA)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 w:eastAsia="Times New Roman" w:cs="Times New Roman"/>
        </w:rPr>
        <w:t xml:space="preserve">NIST SP 800-53 Rev. 5 and CIS Controls v8 (control references; see Project 2 crosswalk)</w:t>
      </w:r>
    </w:p>
    <w:p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45"/>
    <w:bookmarkEnd w:id="46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 w:cs="Times New Roman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eastAsia="Times New Roman" w:cs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Times New Roman" w:cs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Times New Roman" w:cs="Times New Roman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eastAsia="Times New Roman" w:cs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eastAsia="Times New Roman" w:cs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eastAsia="Times New Roman" w:cs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eastAsia="Times New Roman" w:cs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rFonts w:ascii="Times New Roman" w:hAnsi="Times New Roman" w:eastAsia="Times New Roman" w:cs="Times New Roman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Times New Roman" w:cs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Times New Roman" w:cs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eastAsia="Times New Roman" w:cs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eastAsia="Times New Roman" w:cs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eastAsia="Times New Roman" w:cs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eastAsia="Times New Roman" w:cs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eastAsia="Times New Roman" w:cs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eastAsia="Times New Roman" w:cs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eastAsia="Times New Roman" w:cs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eastAsia="Times New Roman" w:cs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eastAsia="Times New Roman" w:cs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Times New Roman" w:cs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 w:cs="Times New Roma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Times New Roman" w:cs="Times New Roman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rPr>
      <w:rFonts w:ascii="Times New Roman" w:hAnsi="Times New Roman" w:eastAsia="Times New Roman" w:cs="Times New Roman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 w:cs="Times New Roman"/>
      <w:b/>
    </w:rPr>
  </w:style>
  <w:style w:customStyle="1" w:styleId="Definition" w:type="paragraph">
    <w:name w:val="Definition"/>
    <w:basedOn w:val="Normal"/>
    <w:rPr>
      <w:rFonts w:ascii="Times New Roman" w:hAnsi="Times New Roman" w:eastAsia="Times New Roman" w:cs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Times New Roman" w:cs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Times New Roman" w:cs="Times New Roman"/>
    </w:rPr>
  </w:style>
  <w:style w:customStyle="1" w:styleId="ImageCaption" w:type="paragraph">
    <w:name w:val="Image Caption"/>
    <w:basedOn w:val="Caption"/>
    <w:rPr>
      <w:rFonts w:ascii="Times New Roman" w:hAnsi="Times New Roman" w:eastAsia="Times New Roman" w:cs="Times New Roman"/>
    </w:rPr>
  </w:style>
  <w:style w:customStyle="1" w:styleId="Figure" w:type="paragraph">
    <w:name w:val="Figure"/>
    <w:basedOn w:val="Normal"/>
    <w:rPr>
      <w:rFonts w:ascii="Times New Roman" w:hAnsi="Times New Roman" w:eastAsia="Times New Roman" w:cs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Times New Roman" w:cs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Times New Roman" w:cs="Times New Roman"/>
    </w:rPr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Times New Roman" w:cs="Times New Roman"/>
    </w:rPr>
  </w:style>
  <w:style w:styleId="FootnoteReference" w:type="character">
    <w:name w:val="Footnote Reference"/>
    <w:basedOn w:val="BodyTextChar"/>
    <w:rPr>
      <w:rFonts w:ascii="Times New Roman" w:hAnsi="Times New Roman" w:eastAsia="Times New Roman" w:cs="Times New Roma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Times New Roman" w:cs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Times New Roman" w:cs="Times New Roman"/>
    </w:rPr>
  </w:style>
  <w:style w:type="character" w:customStyle="1" w:styleId="KeywordTok">
    <w:name w:val="KeywordTok"/>
    <w:basedOn w:val="VerbatimChar"/>
    <w:rPr>
      <w:rFonts w:ascii="Times New Roman" w:hAnsi="Times New Roman" w:eastAsia="Times New Roman" w:cs="Times New Roman"/>
      <w:color w:val="007020"/>
      <w:b/>
    </w:rPr>
  </w:style>
  <w:style w:type="character" w:customStyle="1" w:styleId="DataTypeTok">
    <w:name w:val="DataTypeTok"/>
    <w:basedOn w:val="VerbatimChar"/>
    <w:rPr>
      <w:rFonts w:ascii="Times New Roman" w:hAnsi="Times New Roman" w:eastAsia="Times New Roma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Times New Roma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Times New Roma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Times New Roma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Times New Roma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Times New Roma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Times New Roman" w:cs="Times New Roman"/>
      <w:color w:val="008000"/>
      <w:b/>
    </w:rPr>
  </w:style>
  <w:style w:type="character" w:customStyle="1" w:styleId="CommentTok">
    <w:name w:val="CommentTok"/>
    <w:basedOn w:val="VerbatimChar"/>
    <w:rPr>
      <w:rFonts w:ascii="Times New Roman" w:hAnsi="Times New Roman" w:eastAsia="Times New Roman" w:cs="Times New Roman"/>
      <w:color w:val="60a0b0"/>
      <w:i/>
    </w:rPr>
  </w:style>
  <w:style w:type="character" w:customStyle="1" w:styleId="DocumentationTok">
    <w:name w:val="DocumentationTok"/>
    <w:basedOn w:val="VerbatimChar"/>
    <w:rPr>
      <w:rFonts w:ascii="Times New Roman" w:hAnsi="Times New Roman" w:eastAsia="Times New Roman" w:cs="Times New Roman"/>
      <w:color w:val="ba2121"/>
      <w:i/>
    </w:rPr>
  </w:style>
  <w:style w:type="character" w:customStyle="1" w:styleId="AnnotationTok">
    <w:name w:val="AnnotationTok"/>
    <w:basedOn w:val="VerbatimChar"/>
    <w:rPr>
      <w:rFonts w:ascii="Times New Roman" w:hAnsi="Times New Roman" w:eastAsia="Times New Roman" w:cs="Times New Roman"/>
      <w:color w:val="60a0b0"/>
      <w:b/>
      <w:i/>
    </w:rPr>
  </w:style>
  <w:style w:type="character" w:customStyle="1" w:styleId="CommentVarTok">
    <w:name w:val="CommentVarTok"/>
    <w:basedOn w:val="VerbatimChar"/>
    <w:rPr>
      <w:rFonts w:ascii="Times New Roman" w:hAnsi="Times New Roman" w:eastAsia="Times New Roman" w:cs="Times New Roman"/>
      <w:color w:val="60a0b0"/>
      <w:b/>
      <w:i/>
    </w:rPr>
  </w:style>
  <w:style w:type="character" w:customStyle="1" w:styleId="OtherTok">
    <w:name w:val="OtherTok"/>
    <w:basedOn w:val="VerbatimChar"/>
    <w:rPr>
      <w:rFonts w:ascii="Times New Roman" w:hAnsi="Times New Roman" w:eastAsia="Times New Roma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Times New Roma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Times New Roma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Times New Roman" w:cs="Times New Roman"/>
      <w:color w:val="007020"/>
      <w:b/>
    </w:rPr>
  </w:style>
  <w:style w:type="character" w:customStyle="1" w:styleId="OperatorTok">
    <w:name w:val="OperatorTok"/>
    <w:basedOn w:val="VerbatimChar"/>
    <w:rPr>
      <w:rFonts w:ascii="Times New Roman" w:hAnsi="Times New Roman" w:eastAsia="Times New Roma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Times New Roma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Times New Roma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Times New Roma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Times New Roma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Times New Roma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Times New Roman" w:cs="Times New Roman"/>
      <w:color w:val="60a0b0"/>
      <w:b/>
      <w:i/>
    </w:rPr>
  </w:style>
  <w:style w:type="character" w:customStyle="1" w:styleId="WarningTok">
    <w:name w:val="WarningTok"/>
    <w:basedOn w:val="VerbatimChar"/>
    <w:rPr>
      <w:rFonts w:ascii="Times New Roman" w:hAnsi="Times New Roman" w:eastAsia="Times New Roman" w:cs="Times New Roman"/>
      <w:color w:val="60a0b0"/>
      <w:b/>
      <w:i/>
    </w:rPr>
  </w:style>
  <w:style w:type="character" w:customStyle="1" w:styleId="AlertTok">
    <w:name w:val="AlertTok"/>
    <w:basedOn w:val="VerbatimChar"/>
    <w:rPr>
      <w:rFonts w:ascii="Times New Roman" w:hAnsi="Times New Roman" w:eastAsia="Times New Roman" w:cs="Times New Roman"/>
      <w:color w:val="ff0000"/>
      <w:b/>
    </w:rPr>
  </w:style>
  <w:style w:type="character" w:customStyle="1" w:styleId="ErrorTok">
    <w:name w:val="ErrorTok"/>
    <w:basedOn w:val="VerbatimChar"/>
    <w:rPr>
      <w:rFonts w:ascii="Times New Roman" w:hAnsi="Times New Roman" w:eastAsia="Times New Roman" w:cs="Times New Roman"/>
      <w:color w:val="ff0000"/>
      <w:b/>
    </w:rPr>
  </w:style>
  <w:style w:type="character" w:customStyle="1" w:styleId="NormalTok">
    <w:name w:val="NormalTok"/>
    <w:basedOn w:val="VerbatimChar"/>
    <w:rPr>
      <w:rFonts w:ascii="Times New Roman" w:hAnsi="Times New Roman" w:eastAsia="Times New Roman" w:cs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6" Type="http://schemas.openxmlformats.org/officeDocument/2006/relationships/image" Target="media/rId36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2026-10-23T04:31:00Z</dcterms:created>
  <dcterms:modified xsi:type="dcterms:W3CDTF">2026-10-23T04:31:00Z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