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ox-it-general-controls-itgc-overview"/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SOX IT General Controls (ITGC) — Overview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Portfolio note: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This is a lab project using the same fictional fintech,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NorthStar Lending, Inc.</w:t>
      </w:r>
      <w:r>
        <w:rPr>
          <w:rFonts w:ascii="Times New Roman" w:hAnsi="Times New Roman" w:eastAsia="Times New Roman" w:cs="Times New Roman"/>
        </w:rPr>
        <w:t xml:space="preserve">, introduced in the</w:t>
      </w:r>
      <w:r>
        <w:rPr>
          <w:rFonts w:ascii="Times New Roman" w:hAnsi="Times New Roman" w:eastAsia="Times New Roman" w:cs="Times New Roman"/>
        </w:rPr>
        <w:t xml:space="preserve"> </w:t>
      </w:r>
      <w:hyperlink r:id="rId20">
        <w:r>
          <w:rPr>
            <w:rFonts w:ascii="Times New Roman" w:hAnsi="Times New Roman" w:eastAsia="Times New Roman" w:cs="Times New Roman"/>
            <w:rStyle w:val="Hyperlink"/>
          </w:rPr>
          <w:t xml:space="preserve">risk assessment project</w:t>
        </w:r>
      </w:hyperlink>
      <w:r>
        <w:rPr>
          <w:rFonts w:ascii="Times New Roman" w:hAnsi="Times New Roman" w:eastAsia="Times New Roman" w:cs="Times New Roman"/>
        </w:rPr>
        <w:t xml:space="preserve">. NorthStar is preparing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 an eventual IPO, which is when a private company must get its controls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SOX-ready. All data is invented.</w:t>
      </w:r>
    </w:p>
    <w:bookmarkStart w:id="21" w:name="what-sox-is-and-why-it-cares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 What SOX is and why IT cares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Sarbanes-Oxley Act of 2002 (SOX)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was passed after the Enron and WorldCom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accounting scandals to restore trust in public-company financial reporting. The 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that matters here 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Section 404</w:t>
      </w:r>
      <w:r>
        <w:rPr>
          <w:rFonts w:ascii="Times New Roman" w:hAnsi="Times New Roman" w:eastAsia="Times New Roman" w:cs="Times New Roman"/>
        </w:rPr>
        <w:t xml:space="preserve">: company management must assess and report 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effectiveness of its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Internal Control over Financial Reporting (ICFR)</w:t>
      </w:r>
      <w:r>
        <w:rPr>
          <w:rFonts w:ascii="Times New Roman" w:hAnsi="Times New Roman" w:eastAsia="Times New Roman" w:cs="Times New Roman"/>
        </w:rPr>
        <w:t xml:space="preserve">,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(for larger filers) the external auditor must attest to it.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Here’s the link to IT: modern financial statements are produced by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IT systems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general ledgers, billing, loan and payment platforms, databases. If those systems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aren’t controlled, the numbers they produce can’t be trusted.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IT General Controls</w:t>
      </w:r>
      <w:r>
        <w:rPr>
          <w:rFonts w:ascii="Times New Roman" w:hAnsi="Times New Roman" w:eastAsia="Times New Roman" w:cs="Times New Roman"/>
          <w:bCs/>
          <w:b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(ITGC)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are the controls over the IT environment that give assurance the financial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applications and data are reliable. If ITGCs fail, the auditor can’t rely 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any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of the automated controls or system-generated reports that sit on top of them — 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ITGC failures have outsized consequences.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The one-sentence version for an interview: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ITGCs are the foundation that lets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auditors trust the systems producing the financial statements — if they’re broken,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nothing built on those systems can be relied upon.</w:t>
      </w:r>
      <w:r>
        <w:rPr>
          <w:rFonts w:ascii="Times New Roman" w:hAnsi="Times New Roman" w:eastAsia="Times New Roman" w:cs="Times New Roman"/>
        </w:rPr>
        <w:t xml:space="preserve">”</w:t>
      </w:r>
    </w:p>
    <w:bookmarkEnd w:id="21"/>
    <w:bookmarkStart w:id="22" w:name="the-four-itgc-domains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2. The four ITGC domains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Essentially every SOX ITGC program organizes around these four domains: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3131"/>
        <w:gridCol w:w="33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What it assures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Example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Access to Programs &amp;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Only authorized, appropriate users can access financial systems and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User provisioning approval, access reviews, timely termination, privileged-access restriction, MFA,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segregation of duties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Program Changes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Changes to financial systems are authorized, tested, and approved before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Change approval, testing before deployment, developer ≠ deployer separation, emergency-change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Program 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New financial systems are built and implemented with proper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SDLC approvals, data-migration validation, user acceptance testing (UAT)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Computer 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Systems run reliably and problems are resolved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Job scheduling and monitoring, backup execution and restore testing, incident/problem management</w:t>
            </w:r>
          </w:p>
        </w:tc>
      </w:tr>
    </w:tbl>
    <w:bookmarkEnd w:id="22"/>
    <w:bookmarkStart w:id="23" w:name="X37c11715790dbc191810668126af7609da0f5f9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3. Two concepts that make this a finance-crossover skill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Cs/>
          <w:b/>
        </w:rPr>
        <w:t xml:space="preserve">Segregation of Duties (SoD).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single person should control all parts of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transaction — e.g., the same person shouldn’t be able to both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write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code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deploy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it to production unreviewed, or both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create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vendor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approve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payment to it. SoD failures are a classic path to fraud and a frequent source of SOX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findings. (NorthStar’s finding CM-03 is an SoD gap.)</w:t>
      </w:r>
    </w:p>
    <w:p>
      <w:pPr>
        <w:pStyle w:val="BodyText"/>
      </w:pPr>
      <w:r>
        <w:rPr>
          <w:rFonts w:ascii="Times New Roman" w:hAnsi="Times New Roman" w:eastAsia="Times New Roman" w:cs="Times New Roman"/>
          <w:bCs/>
          <w:b/>
        </w:rPr>
        <w:t xml:space="preserve">Deficiency severity.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Not every failed control is equal. SOX classifies them by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likelihood and magnitude of a resulting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financial misstatement</w:t>
      </w:r>
      <w:r>
        <w:rPr>
          <w:rFonts w:ascii="Times New Roman" w:hAnsi="Times New Roman" w:eastAsia="Times New Roman" w:cs="Times New Roman"/>
        </w:rP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Control Deficiency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 control doesn’t operate effectively, but the impact is limited.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Significant Deficiency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Important enough to merit attention by those charged with governance (audit committee).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Material Weakness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 reasonable possibility that 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material misstatement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of the financial statements would not be prevented or detected in time. The most severe — must be disclosed.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This severity language (straight from PCAOB Auditing Standard 2201) is what separates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 IT auditor who understands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why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control matters from one who just checks boxes.</w:t>
      </w:r>
    </w:p>
    <w:bookmarkEnd w:id="23"/>
    <w:bookmarkStart w:id="24" w:name="how-this-project-is-structured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4. How this project is structured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Control matrix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rStyle w:val="VerbatimChar"/>
        </w:rPr>
        <w:t xml:space="preserve">data/itgc-controls.csv</w:t>
      </w:r>
      <w:r>
        <w:rPr>
          <w:rFonts w:ascii="Times New Roman" w:hAnsi="Times New Roman" w:eastAsia="Times New Roman" w:cs="Times New Roman"/>
        </w:rPr>
        <w:t xml:space="preserve">) — 16 ITGC controls across the four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domains, each with a control objective, activity, owner, test procedure, test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result, and deficiency severity.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Assessment script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rStyle w:val="VerbatimChar"/>
        </w:rPr>
        <w:t xml:space="preserve">scripts/itgc_assessment.py</w:t>
      </w:r>
      <w:r>
        <w:rPr>
          <w:rFonts w:ascii="Times New Roman" w:hAnsi="Times New Roman" w:eastAsia="Times New Roman" w:cs="Times New Roman"/>
        </w:rPr>
        <w:t xml:space="preserve">) — summarizes test results,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counts deficiencies by severity, computes a control-effectiveness rate,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renders a status chart.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Findings report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rStyle w:val="VerbatimChar"/>
        </w:rPr>
        <w:t xml:space="preserve">docs/03-findings-report.md</w:t>
      </w:r>
      <w:r>
        <w:rPr>
          <w:rFonts w:ascii="Times New Roman" w:hAnsi="Times New Roman" w:eastAsia="Times New Roman" w:cs="Times New Roman"/>
        </w:rPr>
        <w:t xml:space="preserve">) — the deficiencies, their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severity, root cause, and remediation, written as an audit deliverable.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4"/>
    <w:bookmarkEnd w:id="25"/>
    <w:bookmarkStart w:id="40" w:name="sox-itgc-assessment-findings-report"/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SOX ITGC Assessment — Findings Report</w:t>
      </w:r>
    </w:p>
    <w:bookmarkStart w:id="26" w:name="northstar-lending-inc.-ipo-readiness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NorthStar Lending, Inc. — IPO Readiness</w:t>
      </w:r>
    </w:p>
    <w:p>
      <w:pPr>
        <w:pStyle w:val="BlockText"/>
      </w:pPr>
      <w:r>
        <w:rPr>
          <w:rFonts w:ascii="Times New Roman" w:hAnsi="Times New Roman" w:eastAsia="Times New Roman" w:cs="Times New Roman"/>
          <w:bCs/>
          <w:b/>
        </w:rPr>
        <w:t xml:space="preserve">Portfolio note: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Fictional company and data; a lab exercise demonstrating a SOX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ITGC assessment deliverable.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Cs/>
          <w:b/>
        </w:rPr>
        <w:t xml:space="preserve">Prepared by: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Salim Mbaye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Scope: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IT General Controls supporting financial reporting (4 domains, 16 controls)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Standard: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PCAOB AS 2201; SOX Section 404 (ICFR)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Date: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October 2026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6"/>
    <w:bookmarkStart w:id="30" w:name="executive-summary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 Executive summary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NorthStar Lending’s IT General Controls were assessed across the four ITGC domains 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part of IPO readiness. 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16 controls tested, 11 (69%) operated effectively</w:t>
      </w:r>
      <w:r>
        <w:rPr>
          <w:rFonts w:ascii="Times New Roman" w:hAnsi="Times New Roman" w:eastAsia="Times New Roman" w:cs="Times New Roman"/>
        </w:rPr>
        <w:t xml:space="preserve">. Five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deficiencies were identified, including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one material weakness</w:t>
      </w:r>
      <w:r>
        <w:rPr>
          <w:rFonts w:ascii="Times New Roman" w:hAnsi="Times New Roman" w:eastAsia="Times New Roman" w:cs="Times New Roman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Overall conclusion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MATERIAL WEAKNESS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Because a material weakness exists,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ITGC cannot currently be concluded effective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the automated controls and system-generated reports that depend on these IT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controls cannot yet be fully relied upon for financial-reporting purposes.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material weakness is concentrated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change management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(developer access to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production), with additional significant deficiencies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access management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CaptionedFigure"/>
      </w:pPr>
      <w:r>
        <w:rPr>
          <w:rFonts w:ascii="Times New Roman" w:hAnsi="Times New Roman" w:eastAsia="Times New Roman" w:cs="Times New Roman"/>
        </w:rPr>
        <w:drawing>
          <wp:inline>
            <wp:extent cx="5334000" cy="2936696"/>
            <wp:effectExtent b="0" l="0" r="0" t="0"/>
            <wp:docPr descr="ITGC test results by domain" title="" id="28" name="Picture"/>
            <a:graphic>
              <a:graphicData uri="http://schemas.openxmlformats.org/drawingml/2006/picture">
                <pic:pic>
                  <pic:nvPicPr>
                    <pic:cNvPr descr="/tmp/claude-0/-home-claude/a28da9bd-0836-539f-9d46-518f6e1f006f/scratchpad/grc-portfolio/sox-itgc-assessment/outputs/itgc-status-by-dom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ITGC test results by domain</w:t>
      </w:r>
    </w:p>
    <w:bookmarkEnd w:id="30"/>
    <w:bookmarkStart w:id="36" w:name="deficiencies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2. Deficiencies</w:t>
      </w:r>
    </w:p>
    <w:bookmarkStart w:id="31" w:name="X5083a7cb7eced5deaf4876024626499fcd65f6c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CM-03 — Developers have standing production access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Material Weakness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Condition: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Developers hold standing access to deploy directly to the production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financial systems, with no enforced separation between who writes code and who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releases it.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Why it’s a material weakness: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This is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segregation-of-duties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failure over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systems that produce financial data. An unreviewed or unauthorized change could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alter financial transactions or reporting with no compensating control to catch it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reasonable possibility of a material misstatement that would not be prevented 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detected.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Root cause: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Rapid startup growth; deployment speed prioritized over control.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Remediation: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Remove developer standing production access; route all deployments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through a controlled CI/CD pipeline with independent approval and an audit trail.</w:t>
      </w:r>
    </w:p>
    <w:bookmarkEnd w:id="31"/>
    <w:bookmarkStart w:id="32" w:name="X30d3f65955cd9c7e525cee881089965ad635c06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AC-03 — Terminated access not revoked timely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Significant Deficiency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Condition: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a sample of 15 terminations, access was not revoked within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24-hour SLA for several separated users.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Impact: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Former employees may retain access to financial systems — an access 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fraud risk.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Remediation: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Automate deprovisioning via an HR-triggered workflow; monitor SLA.</w:t>
      </w:r>
    </w:p>
    <w:bookmarkEnd w:id="32"/>
    <w:bookmarkStart w:id="33" w:name="X12f1ce1c1d3af62ee69e1336d9f63bef4e04d42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AC-02 — Quarterly access recertification not consistently performed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Significant Deficiency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Condition: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Recertification evidence was missing for part of the year.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Impact: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Access creep — users may accumulate inappropriate access undetected.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Remediation: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Formalize and enforce quarterly recertification with tracked completion.</w:t>
      </w:r>
    </w:p>
    <w:bookmarkEnd w:id="33"/>
    <w:bookmarkStart w:id="34" w:name="Xaa75dd4a341961bd94dce21808dc00ca6948098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AC-06 — Segregation-of-duties conflicts unresolved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Control Deficiency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Condition: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The SoD conflict report shows unresolved conflicting access grants.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Remediation: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Implement an SoD ruleset and remediate the conflicting grants.</w:t>
      </w:r>
    </w:p>
    <w:bookmarkEnd w:id="34"/>
    <w:bookmarkStart w:id="35" w:name="X94dc69e3921121e0662a7285b90899dd44ba4c9"/>
    <w:p>
      <w:pPr>
        <w:pStyle w:val="Heading3"/>
      </w:pPr>
      <w:r>
        <w:rPr>
          <w:rFonts w:ascii="Times New Roman" w:hAnsi="Times New Roman" w:eastAsia="Times New Roman" w:cs="Times New Roman"/>
        </w:rPr>
        <w:t xml:space="preserve">CO-02 — Backups not restore-tested 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Control Deficiency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Condition: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Backups run, but restoration has not been periodically tested.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Remediation: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Establish documented periodic restore testing with retained evidence.</w:t>
      </w:r>
    </w:p>
    <w:bookmarkEnd w:id="35"/>
    <w:bookmarkEnd w:id="36"/>
    <w:bookmarkStart w:id="37" w:name="remediation-priority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3. Remediation priority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0"/>
        <w:gridCol w:w="1926"/>
        <w:gridCol w:w="2140"/>
        <w:gridCol w:w="17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Material Weakness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Remove dev prod access; controlled CI/CD with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Significant Deficiency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Automate timely deprovisioning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Significant Deficiency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Enforce quarterly access recertification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Control Deficiency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Deploy SoD ruleset; clear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Control Deficiency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Periodic, evidenced restore testing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material weakness (CM-03) must be remediated and the control operating effectively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for a period before management could assert ITGC is effective. Access-domain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deficiencies cluster around identity lifecycle and are addressable with automation.</w:t>
      </w:r>
    </w:p>
    <w:bookmarkEnd w:id="37"/>
    <w:bookmarkStart w:id="38" w:name="how-to-reproduce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4. How to reproduce</w:t>
      </w:r>
    </w:p>
    <w:p>
      <w:pPr>
        <w:pStyle w:val="SourceCode"/>
      </w:pPr>
      <w:r>
        <w:rPr>
          <w:rFonts w:ascii="Times New Roman" w:hAnsi="Times New Roman" w:eastAsia="Times New Roman" w:cs="Times New Roman"/>
          <w:rStyle w:val="ExtensionTok"/>
        </w:rPr>
        <w:t xml:space="preserve">pip</w:t>
      </w:r>
      <w:r>
        <w:rPr>
          <w:rFonts w:ascii="Times New Roman" w:hAnsi="Times New Roman" w:eastAsia="Times New Roman" w:cs="Times New Roman"/>
          <w:rStyle w:val="NormalTok"/>
        </w:rPr>
        <w:t xml:space="preserve"> install </w:t>
      </w:r>
      <w:r>
        <w:rPr>
          <w:rFonts w:ascii="Times New Roman" w:hAnsi="Times New Roman" w:eastAsia="Times New Roman" w:cs="Times New Roman"/>
          <w:rStyle w:val="AttributeTok"/>
        </w:rPr>
        <w:t xml:space="preserve">-r</w:t>
      </w:r>
      <w:r>
        <w:rPr>
          <w:rFonts w:ascii="Times New Roman" w:hAnsi="Times New Roman" w:eastAsia="Times New Roman" w:cs="Times New Roman"/>
          <w:rStyle w:val="NormalTok"/>
        </w:rPr>
        <w:t xml:space="preserve"> scripts/requirements.txt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rStyle w:val="ExtensionTok"/>
        </w:rPr>
        <w:t xml:space="preserve">python3</w:t>
      </w:r>
      <w:r>
        <w:rPr>
          <w:rFonts w:ascii="Times New Roman" w:hAnsi="Times New Roman" w:eastAsia="Times New Roman" w:cs="Times New Roman"/>
          <w:rStyle w:val="NormalTok"/>
        </w:rPr>
        <w:t xml:space="preserve"> scripts/itgc_assessment.py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rStyle w:val="CommentTok"/>
        </w:rPr>
        <w:t xml:space="preserve"># regenerates outputs/: assessment summary + status chart</w:t>
      </w:r>
    </w:p>
    <w:bookmarkEnd w:id="38"/>
    <w:bookmarkStart w:id="39" w:name="standards-referenced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 Standards referenced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 w:eastAsia="Times New Roman" w:cs="Times New Roman"/>
        </w:rPr>
        <w:t xml:space="preserve">Sarbanes-Oxley Act of 2002, Section 404 (ICFR)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 w:eastAsia="Times New Roman" w:cs="Times New Roman"/>
        </w:rPr>
        <w:t xml:space="preserve">PCAOB Auditing Standard 2201 (deficiency severity definitions)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 w:eastAsia="Times New Roman" w:cs="Times New Roman"/>
        </w:rPr>
        <w:t xml:space="preserve">COSO Internal Control — Integrated Framework (control environment)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9"/>
    <w:bookmarkEnd w:id="40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eastAsia="Times New Roman" w:cs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Times New Roman" w:cs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eastAsia="Times New Roman" w:cs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 w:cs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eastAsia="Times New Roman" w:cs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eastAsia="Times New Roman" w:cs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eastAsia="Times New Roman" w:cs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eastAsia="Times New Roman" w:cs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eastAsia="Times New Roman" w:cs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 w:cs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hAnsi="Times New Roman" w:eastAsia="Times New Roman" w:cs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Times New Roma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</w:rPr>
  </w:style>
  <w:style w:customStyle="1" w:styleId="Figure" w:type="paragraph">
    <w:name w:val="Figure"/>
    <w:basedOn w:val="Normal"/>
    <w:rPr>
      <w:rFonts w:ascii="Times New Roman" w:hAnsi="Times New Roman" w:eastAsia="Times New Roma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Times New Roma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color w:val="007020"/>
      <w:b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color w:val="008000"/>
      <w:b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color w:val="60a0b0"/>
      <w:i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color w:val="ba2121"/>
      <w:i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color w:val="007020"/>
      <w:b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color w:val="ff0000"/>
      <w:b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color w:val="ff0000"/>
      <w:b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0" Type="http://schemas.openxmlformats.org/officeDocument/2006/relationships/hyperlink" Target="../../risk-assessment-fintech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../risk-assessment-fin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2026-10-23T04:31:01Z</dcterms:created>
  <dcterms:modified xsi:type="dcterms:W3CDTF">2026-10-23T04:31:01Z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