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ox-it-general-controls-itgc-overview"/>
    <w:p>
      <w:pPr>
        <w:pStyle w:val="Heading1"/>
      </w:pPr>
      <w:r>
        <w:t xml:space="preserve">SOX IT General Controls (ITGC) — Overview</w:t>
      </w:r>
    </w:p>
    <w:p>
      <w:pPr>
        <w:pStyle w:val="BlockText"/>
      </w:pPr>
      <w:r>
        <w:rPr>
          <w:bCs/>
          <w:b/>
        </w:rPr>
        <w:t xml:space="preserve">Portfolio note:</w:t>
      </w:r>
      <w:r>
        <w:t xml:space="preserve"> </w:t>
      </w:r>
      <w:r>
        <w:t xml:space="preserve">This is a lab project using the same fictional fintech,</w:t>
      </w:r>
      <w:r>
        <w:t xml:space="preserve"> </w:t>
      </w:r>
      <w:r>
        <w:rPr>
          <w:iCs/>
          <w:i/>
        </w:rPr>
        <w:t xml:space="preserve">NorthStar Lending, Inc.</w:t>
      </w:r>
      <w:r>
        <w:t xml:space="preserve">, introduced in the</w:t>
      </w:r>
      <w:r>
        <w:t xml:space="preserve"> </w:t>
      </w:r>
      <w:hyperlink r:id="rId20">
        <w:r>
          <w:rPr>
            <w:rStyle w:val="Hyperlink"/>
          </w:rPr>
          <w:t xml:space="preserve">risk assessment project</w:t>
        </w:r>
      </w:hyperlink>
      <w:r>
        <w:t xml:space="preserve">. NorthStar is preparing</w:t>
      </w:r>
      <w:r>
        <w:t xml:space="preserve"> </w:t>
      </w:r>
      <w:r>
        <w:t xml:space="preserve">for an eventual IPO, which is when a private company must get its controls</w:t>
      </w:r>
      <w:r>
        <w:t xml:space="preserve"> </w:t>
      </w:r>
      <w:r>
        <w:t xml:space="preserve">SOX-ready. All data is invented.</w:t>
      </w:r>
    </w:p>
    <w:bookmarkStart w:id="21" w:name="what-sox-is-and-why-it-cares"/>
    <w:p>
      <w:pPr>
        <w:pStyle w:val="Heading2"/>
      </w:pPr>
      <w:r>
        <w:t xml:space="preserve">1. What SOX is and why IT cares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Sarbanes-Oxley Act of 2002 (SOX)</w:t>
      </w:r>
      <w:r>
        <w:t xml:space="preserve"> </w:t>
      </w:r>
      <w:r>
        <w:t xml:space="preserve">was passed after the Enron and WorldCom</w:t>
      </w:r>
      <w:r>
        <w:t xml:space="preserve"> </w:t>
      </w:r>
      <w:r>
        <w:t xml:space="preserve">accounting scandals to restore trust in public-company financial reporting. The part</w:t>
      </w:r>
      <w:r>
        <w:t xml:space="preserve"> </w:t>
      </w:r>
      <w:r>
        <w:t xml:space="preserve">that matters here is</w:t>
      </w:r>
      <w:r>
        <w:t xml:space="preserve"> </w:t>
      </w:r>
      <w:r>
        <w:rPr>
          <w:bCs/>
          <w:b/>
        </w:rPr>
        <w:t xml:space="preserve">Section 404</w:t>
      </w:r>
      <w:r>
        <w:t xml:space="preserve">: company management must assess and report on</w:t>
      </w:r>
      <w:r>
        <w:t xml:space="preserve"> </w:t>
      </w:r>
      <w:r>
        <w:t xml:space="preserve">the effectiveness of its</w:t>
      </w:r>
      <w:r>
        <w:t xml:space="preserve"> </w:t>
      </w:r>
      <w:r>
        <w:rPr>
          <w:bCs/>
          <w:b/>
        </w:rPr>
        <w:t xml:space="preserve">Internal Control over Financial Reporting (ICFR)</w:t>
      </w:r>
      <w:r>
        <w:t xml:space="preserve">, and</w:t>
      </w:r>
      <w:r>
        <w:t xml:space="preserve"> </w:t>
      </w:r>
      <w:r>
        <w:t xml:space="preserve">(for larger filers) the external auditor must attest to it.</w:t>
      </w:r>
    </w:p>
    <w:p>
      <w:pPr>
        <w:pStyle w:val="BodyText"/>
      </w:pPr>
      <w:r>
        <w:t xml:space="preserve">Here’s the link to IT: modern financial statements are produced by</w:t>
      </w:r>
      <w:r>
        <w:t xml:space="preserve"> </w:t>
      </w:r>
      <w:r>
        <w:rPr>
          <w:bCs/>
          <w:b/>
        </w:rPr>
        <w:t xml:space="preserve">IT systems</w:t>
      </w:r>
      <w:r>
        <w:t xml:space="preserve"> </w:t>
      </w:r>
      <w:r>
        <w:t xml:space="preserve">—</w:t>
      </w:r>
      <w:r>
        <w:t xml:space="preserve"> </w:t>
      </w:r>
      <w:r>
        <w:t xml:space="preserve">general ledgers, billing, loan and payment platforms, databases. If those systems</w:t>
      </w:r>
      <w:r>
        <w:t xml:space="preserve"> </w:t>
      </w:r>
      <w:r>
        <w:t xml:space="preserve">aren’t controlled, the numbers they produce can’t be trusted.</w:t>
      </w:r>
      <w:r>
        <w:t xml:space="preserve"> </w:t>
      </w:r>
      <w:r>
        <w:rPr>
          <w:bCs/>
          <w:b/>
        </w:rPr>
        <w:t xml:space="preserve">IT General Controls</w:t>
      </w:r>
      <w:r>
        <w:rPr>
          <w:bCs/>
          <w:b/>
        </w:rPr>
        <w:t xml:space="preserve"> </w:t>
      </w:r>
      <w:r>
        <w:rPr>
          <w:bCs/>
          <w:b/>
        </w:rPr>
        <w:t xml:space="preserve">(ITGC)</w:t>
      </w:r>
      <w:r>
        <w:t xml:space="preserve"> </w:t>
      </w:r>
      <w:r>
        <w:t xml:space="preserve">are the controls over the IT environment that give assurance the financial</w:t>
      </w:r>
      <w:r>
        <w:t xml:space="preserve"> </w:t>
      </w:r>
      <w:r>
        <w:t xml:space="preserve">applications and data are reliable. If ITGCs fail, the auditor can’t rely on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of the automated controls or system-generated reports that sit on top of them — so</w:t>
      </w:r>
      <w:r>
        <w:t xml:space="preserve"> </w:t>
      </w:r>
      <w:r>
        <w:t xml:space="preserve">ITGC failures have outsized consequences.</w:t>
      </w:r>
    </w:p>
    <w:p>
      <w:pPr>
        <w:pStyle w:val="BlockText"/>
      </w:pPr>
      <w:r>
        <w:rPr>
          <w:bCs/>
          <w:b/>
        </w:rPr>
        <w:t xml:space="preserve">The one-sentence version for an interview:</w:t>
      </w:r>
      <w:r>
        <w:t xml:space="preserve"> </w:t>
      </w:r>
      <w:r>
        <w:t xml:space="preserve">“</w:t>
      </w:r>
      <w:r>
        <w:t xml:space="preserve">ITGCs are the foundation that lets</w:t>
      </w:r>
      <w:r>
        <w:t xml:space="preserve"> </w:t>
      </w:r>
      <w:r>
        <w:t xml:space="preserve">auditors trust the systems producing the financial statements — if they’re broken,</w:t>
      </w:r>
      <w:r>
        <w:t xml:space="preserve"> </w:t>
      </w:r>
      <w:r>
        <w:t xml:space="preserve">nothing built on those systems can be relied upon.</w:t>
      </w:r>
      <w:r>
        <w:t xml:space="preserve">”</w:t>
      </w:r>
    </w:p>
    <w:bookmarkEnd w:id="21"/>
    <w:bookmarkStart w:id="22" w:name="the-four-itgc-domains"/>
    <w:p>
      <w:pPr>
        <w:pStyle w:val="Heading2"/>
      </w:pPr>
      <w:r>
        <w:t xml:space="preserve">2. The four ITGC domains</w:t>
      </w:r>
    </w:p>
    <w:p>
      <w:pPr>
        <w:pStyle w:val="FirstParagraph"/>
      </w:pPr>
      <w:r>
        <w:t xml:space="preserve">Essentially every SOX ITGC program organizes around these four domains: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3131"/>
        <w:gridCol w:w="33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assures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to Programs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authorized, appropriate users can access financial systems and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provisioning approval, access reviews, timely termination, privileged-access restriction, MFA,</w:t>
            </w:r>
            <w:r>
              <w:t xml:space="preserve"> </w:t>
            </w:r>
            <w:r>
              <w:rPr>
                <w:bCs/>
                <w:b/>
              </w:rPr>
              <w:t xml:space="preserve">segregation of duties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to financial systems are authorized, tested, and approved before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approval, testing before deployment, developer ≠ deployer separation, emergency-change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financial systems are built and implemented with proper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SDLC approvals, data-migration validation, user acceptance testing (UAT)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run reliably and problems are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scheduling and monitoring, backup execution and restore testing, incident/problem management</w:t>
            </w:r>
          </w:p>
        </w:tc>
      </w:tr>
    </w:tbl>
    <w:bookmarkEnd w:id="22"/>
    <w:bookmarkStart w:id="23" w:name="X37c11715790dbc191810668126af7609da0f5f9"/>
    <w:p>
      <w:pPr>
        <w:pStyle w:val="Heading2"/>
      </w:pPr>
      <w:r>
        <w:t xml:space="preserve">3. Two concepts that make this a finance-crossover skill</w:t>
      </w:r>
    </w:p>
    <w:p>
      <w:pPr>
        <w:pStyle w:val="FirstParagraph"/>
      </w:pPr>
      <w:r>
        <w:rPr>
          <w:bCs/>
          <w:b/>
        </w:rPr>
        <w:t xml:space="preserve">Segregation of Duties (SoD).</w:t>
      </w:r>
      <w:r>
        <w:t xml:space="preserve"> </w:t>
      </w:r>
      <w:r>
        <w:t xml:space="preserve">No single person should control all parts of a</w:t>
      </w:r>
      <w:r>
        <w:t xml:space="preserve"> </w:t>
      </w:r>
      <w:r>
        <w:t xml:space="preserve">transaction — e.g., the same person shouldn’t be able to both</w:t>
      </w:r>
      <w:r>
        <w:t xml:space="preserve"> </w:t>
      </w:r>
      <w:r>
        <w:rPr>
          <w:iCs/>
          <w:i/>
        </w:rPr>
        <w:t xml:space="preserve">write</w:t>
      </w:r>
      <w:r>
        <w:t xml:space="preserve"> </w:t>
      </w:r>
      <w:r>
        <w:t xml:space="preserve">code and</w:t>
      </w:r>
      <w:r>
        <w:t xml:space="preserve"> </w:t>
      </w:r>
      <w:r>
        <w:rPr>
          <w:iCs/>
          <w:i/>
        </w:rPr>
        <w:t xml:space="preserve">deploy</w:t>
      </w:r>
      <w:r>
        <w:t xml:space="preserve"> </w:t>
      </w:r>
      <w:r>
        <w:t xml:space="preserve">it to production unreviewed, or both</w:t>
      </w:r>
      <w:r>
        <w:t xml:space="preserve"> </w:t>
      </w:r>
      <w:r>
        <w:rPr>
          <w:iCs/>
          <w:i/>
        </w:rPr>
        <w:t xml:space="preserve">create</w:t>
      </w:r>
      <w:r>
        <w:t xml:space="preserve"> </w:t>
      </w:r>
      <w:r>
        <w:t xml:space="preserve">a vendor and</w:t>
      </w:r>
      <w:r>
        <w:t xml:space="preserve"> </w:t>
      </w:r>
      <w:r>
        <w:rPr>
          <w:iCs/>
          <w:i/>
        </w:rPr>
        <w:t xml:space="preserve">approve</w:t>
      </w:r>
      <w:r>
        <w:t xml:space="preserve"> </w:t>
      </w:r>
      <w:r>
        <w:t xml:space="preserve">a</w:t>
      </w:r>
      <w:r>
        <w:t xml:space="preserve"> </w:t>
      </w:r>
      <w:r>
        <w:t xml:space="preserve">payment to it. SoD failures are a classic path to fraud and a frequent source of SOX</w:t>
      </w:r>
      <w:r>
        <w:t xml:space="preserve"> </w:t>
      </w:r>
      <w:r>
        <w:t xml:space="preserve">findings. (NorthStar’s finding CM-03 is an SoD gap.)</w:t>
      </w:r>
    </w:p>
    <w:p>
      <w:pPr>
        <w:pStyle w:val="BodyText"/>
      </w:pPr>
      <w:r>
        <w:rPr>
          <w:bCs/>
          <w:b/>
        </w:rPr>
        <w:t xml:space="preserve">Deficiency severity.</w:t>
      </w:r>
      <w:r>
        <w:t xml:space="preserve"> </w:t>
      </w:r>
      <w:r>
        <w:t xml:space="preserve">Not every failed control is equal. SOX classifies them by</w:t>
      </w:r>
      <w:r>
        <w:t xml:space="preserve"> </w:t>
      </w:r>
      <w:r>
        <w:t xml:space="preserve">the likelihood and magnitude of a resulting</w:t>
      </w:r>
      <w:r>
        <w:t xml:space="preserve"> </w:t>
      </w:r>
      <w:r>
        <w:rPr>
          <w:bCs/>
          <w:b/>
        </w:rPr>
        <w:t xml:space="preserve">financial misstatement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 doesn’t operate effectively, but the impact is limited.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Significant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enough to merit attention by those charged with governance (audit committee).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reasonable possibility that a</w:t>
            </w:r>
            <w:r>
              <w:t xml:space="preserve"> </w:t>
            </w:r>
            <w:r>
              <w:rPr>
                <w:bCs/>
                <w:b/>
              </w:rPr>
              <w:t xml:space="preserve">material misstatement</w:t>
            </w:r>
            <w:r>
              <w:t xml:space="preserve"> </w:t>
            </w:r>
            <w:r>
              <w:t xml:space="preserve">of the financial statements would not be prevented or detected in time. The most severe — must be disclosed.</w:t>
            </w:r>
          </w:p>
        </w:tc>
      </w:tr>
    </w:tbl>
    <w:p>
      <w:pPr>
        <w:pStyle w:val="BodyText"/>
      </w:pPr>
      <w:r>
        <w:t xml:space="preserve">This severity language (straight from PCAOB Auditing Standard 2201) is what separates</w:t>
      </w:r>
      <w:r>
        <w:t xml:space="preserve"> </w:t>
      </w:r>
      <w:r>
        <w:t xml:space="preserve">an IT auditor who understands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control matters from one who just checks boxes.</w:t>
      </w:r>
    </w:p>
    <w:bookmarkEnd w:id="23"/>
    <w:bookmarkStart w:id="24" w:name="how-this-project-is-structured"/>
    <w:p>
      <w:pPr>
        <w:pStyle w:val="Heading2"/>
      </w:pPr>
      <w:r>
        <w:t xml:space="preserve">4. How this project is structured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data/itgc-controls.csv</w:t>
      </w:r>
      <w:r>
        <w:t xml:space="preserve">) — 16 ITGC controls across the four</w:t>
      </w:r>
      <w:r>
        <w:t xml:space="preserve"> </w:t>
      </w:r>
      <w:r>
        <w:t xml:space="preserve">domains, each with a control objective, activity, owner, test procedure, test</w:t>
      </w:r>
      <w:r>
        <w:t xml:space="preserve"> </w:t>
      </w:r>
      <w:r>
        <w:t xml:space="preserve">result, and deficiency severity.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scripts/itgc_assessment.py</w:t>
      </w:r>
      <w:r>
        <w:t xml:space="preserve">) — summarizes test results,</w:t>
      </w:r>
      <w:r>
        <w:t xml:space="preserve"> </w:t>
      </w:r>
      <w:r>
        <w:t xml:space="preserve">counts deficiencies by severity, computes a control-effectiveness rate, and</w:t>
      </w:r>
      <w:r>
        <w:t xml:space="preserve"> </w:t>
      </w:r>
      <w:r>
        <w:t xml:space="preserve">renders a status chart.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Findings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docs/03-findings-report.md</w:t>
      </w:r>
      <w:r>
        <w:t xml:space="preserve">) — the deficiencies, their</w:t>
      </w:r>
      <w:r>
        <w:t xml:space="preserve"> </w:t>
      </w:r>
      <w:r>
        <w:t xml:space="preserve">severity, root cause, and remediation, written as an audit deliverable.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0" w:name="sox-itgc-assessment-findings-report"/>
    <w:p>
      <w:pPr>
        <w:pStyle w:val="Heading1"/>
      </w:pPr>
      <w:r>
        <w:t xml:space="preserve">SOX ITGC Assessment — Findings Report</w:t>
      </w:r>
    </w:p>
    <w:bookmarkStart w:id="26" w:name="northstar-lending-inc.-ipo-readiness"/>
    <w:p>
      <w:pPr>
        <w:pStyle w:val="Heading3"/>
      </w:pPr>
      <w:r>
        <w:t xml:space="preserve">NorthStar Lending, Inc. — IPO Readiness</w:t>
      </w:r>
    </w:p>
    <w:p>
      <w:pPr>
        <w:pStyle w:val="BlockText"/>
      </w:pPr>
      <w:r>
        <w:rPr>
          <w:bCs/>
          <w:b/>
        </w:rPr>
        <w:t xml:space="preserve">Portfolio note:</w:t>
      </w:r>
      <w:r>
        <w:t xml:space="preserve"> </w:t>
      </w:r>
      <w:r>
        <w:t xml:space="preserve">Fictional company and data; a lab exercise demonstrating a SOX</w:t>
      </w:r>
      <w:r>
        <w:t xml:space="preserve"> </w:t>
      </w:r>
      <w:r>
        <w:t xml:space="preserve">ITGC assessment deliverable.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Salim Mbaye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IT General Controls supporting financial reporting (4 domains, 16 controls)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PCAOB AS 2201; SOX Section 404 (ICFR)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October 2026</w:t>
      </w:r>
    </w:p>
    <w:p>
      <w:r>
        <w:pict>
          <v:rect style="width:0;height:1.5pt" o:hralign="center" o:hrstd="t" o:hr="t"/>
        </w:pict>
      </w:r>
    </w:p>
    <w:bookmarkEnd w:id="26"/>
    <w:bookmarkStart w:id="3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NorthStar Lending’s IT General Controls were assessed across the four ITGC domains as</w:t>
      </w:r>
      <w:r>
        <w:t xml:space="preserve"> </w:t>
      </w:r>
      <w:r>
        <w:t xml:space="preserve">part of IPO readiness. Of</w:t>
      </w:r>
      <w:r>
        <w:t xml:space="preserve"> </w:t>
      </w:r>
      <w:r>
        <w:rPr>
          <w:bCs/>
          <w:b/>
        </w:rPr>
        <w:t xml:space="preserve">16 controls tested, 11 (69%) operated effectively</w:t>
      </w:r>
      <w:r>
        <w:t xml:space="preserve">. Five</w:t>
      </w:r>
      <w:r>
        <w:t xml:space="preserve"> </w:t>
      </w:r>
      <w:r>
        <w:t xml:space="preserve">deficiencies were identified, including</w:t>
      </w:r>
      <w:r>
        <w:t xml:space="preserve"> </w:t>
      </w:r>
      <w:r>
        <w:rPr>
          <w:bCs/>
          <w:b/>
        </w:rPr>
        <w:t xml:space="preserve">one material weakness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Overall conclusion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WEAKNESS</w:t>
            </w:r>
          </w:p>
        </w:tc>
      </w:tr>
    </w:tbl>
    <w:p>
      <w:pPr>
        <w:pStyle w:val="BodyText"/>
      </w:pPr>
      <w:r>
        <w:t xml:space="preserve">Because a material weakness exists,</w:t>
      </w:r>
      <w:r>
        <w:t xml:space="preserve"> </w:t>
      </w:r>
      <w:r>
        <w:rPr>
          <w:bCs/>
          <w:b/>
        </w:rPr>
        <w:t xml:space="preserve">ITGC cannot currently be concluded effective</w:t>
      </w:r>
      <w:r>
        <w:t xml:space="preserve">,</w:t>
      </w:r>
      <w:r>
        <w:t xml:space="preserve"> </w:t>
      </w:r>
      <w:r>
        <w:t xml:space="preserve">and the automated controls and system-generated reports that depend on these IT</w:t>
      </w:r>
      <w:r>
        <w:t xml:space="preserve"> </w:t>
      </w:r>
      <w:r>
        <w:t xml:space="preserve">controls cannot yet be fully relied upon for financial-reporting purposes. The</w:t>
      </w:r>
      <w:r>
        <w:t xml:space="preserve"> </w:t>
      </w:r>
      <w:r>
        <w:t xml:space="preserve">material weakness is concentrated in</w:t>
      </w:r>
      <w:r>
        <w:t xml:space="preserve"> </w:t>
      </w:r>
      <w:r>
        <w:rPr>
          <w:bCs/>
          <w:b/>
        </w:rPr>
        <w:t xml:space="preserve">change management</w:t>
      </w:r>
      <w:r>
        <w:t xml:space="preserve"> </w:t>
      </w:r>
      <w:r>
        <w:t xml:space="preserve">(developer access to</w:t>
      </w:r>
      <w:r>
        <w:t xml:space="preserve"> </w:t>
      </w:r>
      <w:r>
        <w:t xml:space="preserve">production), with additional significant deficiencies in</w:t>
      </w:r>
      <w:r>
        <w:t xml:space="preserve"> </w:t>
      </w:r>
      <w:r>
        <w:rPr>
          <w:bCs/>
          <w:b/>
        </w:rPr>
        <w:t xml:space="preserve">access management</w:t>
      </w:r>
      <w:r>
        <w:t xml:space="preserve">.</w:t>
      </w:r>
    </w:p>
    <w:p>
      <w:pPr>
        <w:pStyle w:val="CaptionedFigure"/>
      </w:pPr>
      <w:r>
        <w:drawing>
          <wp:inline>
            <wp:extent cx="5334000" cy="2936696"/>
            <wp:effectExtent b="0" l="0" r="0" t="0"/>
            <wp:docPr descr="ITGC test results by domain" title="" id="28" name="Picture"/>
            <a:graphic>
              <a:graphicData uri="http://schemas.openxmlformats.org/drawingml/2006/picture">
                <pic:pic>
                  <pic:nvPicPr>
                    <pic:cNvPr descr="/tmp/claude-0/-home-claude/a28da9bd-0836-539f-9d46-518f6e1f006f/scratchpad/grc-portfolio/sox-itgc-assessment/outputs/itgc-status-by-domai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ITGC test results by domain</w:t>
      </w:r>
    </w:p>
    <w:bookmarkEnd w:id="30"/>
    <w:bookmarkStart w:id="36" w:name="deficiencies"/>
    <w:p>
      <w:pPr>
        <w:pStyle w:val="Heading2"/>
      </w:pPr>
      <w:r>
        <w:t xml:space="preserve">2. Deficiencies</w:t>
      </w:r>
    </w:p>
    <w:bookmarkStart w:id="31" w:name="X5083a7cb7eced5deaf4876024626499fcd65f6c"/>
    <w:p>
      <w:pPr>
        <w:pStyle w:val="Heading3"/>
      </w:pPr>
      <w:r>
        <w:t xml:space="preserve">CM-03 — Developers have standing production access —</w:t>
      </w:r>
      <w:r>
        <w:t xml:space="preserve"> </w:t>
      </w:r>
      <w:r>
        <w:rPr>
          <w:bCs/>
          <w:b/>
        </w:rPr>
        <w:t xml:space="preserve">Material Weakness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Condition:</w:t>
      </w:r>
      <w:r>
        <w:t xml:space="preserve"> </w:t>
      </w:r>
      <w:r>
        <w:t xml:space="preserve">Developers hold standing access to deploy directly to the production</w:t>
      </w:r>
      <w:r>
        <w:t xml:space="preserve"> </w:t>
      </w:r>
      <w:r>
        <w:t xml:space="preserve">financial systems, with no enforced separation between who writes code and who</w:t>
      </w:r>
      <w:r>
        <w:t xml:space="preserve"> </w:t>
      </w:r>
      <w:r>
        <w:t xml:space="preserve">releases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it’s a material weakness: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segregation-of-duties</w:t>
      </w:r>
      <w:r>
        <w:t xml:space="preserve"> </w:t>
      </w:r>
      <w:r>
        <w:t xml:space="preserve">failure over</w:t>
      </w:r>
      <w:r>
        <w:t xml:space="preserve"> </w:t>
      </w:r>
      <w:r>
        <w:t xml:space="preserve">the systems that produce financial data. An unreviewed or unauthorized change could</w:t>
      </w:r>
      <w:r>
        <w:t xml:space="preserve"> </w:t>
      </w:r>
      <w:r>
        <w:t xml:space="preserve">alter financial transactions or reporting with no compensating control to catch it —</w:t>
      </w:r>
      <w:r>
        <w:t xml:space="preserve"> </w:t>
      </w:r>
      <w:r>
        <w:t xml:space="preserve">a reasonable possibility of a material misstatement that would not be prevented or</w:t>
      </w:r>
      <w:r>
        <w:t xml:space="preserve"> </w:t>
      </w:r>
      <w:r>
        <w:t xml:space="preserve">detected.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Rapid startup growth; deployment speed prioritized over control.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Remove developer standing production access; route all deployments</w:t>
      </w:r>
      <w:r>
        <w:t xml:space="preserve"> </w:t>
      </w:r>
      <w:r>
        <w:t xml:space="preserve">through a controlled CI/CD pipeline with independent approval and an audit trail.</w:t>
      </w:r>
    </w:p>
    <w:bookmarkEnd w:id="31"/>
    <w:bookmarkStart w:id="32" w:name="X30d3f65955cd9c7e525cee881089965ad635c06"/>
    <w:p>
      <w:pPr>
        <w:pStyle w:val="Heading3"/>
      </w:pPr>
      <w:r>
        <w:t xml:space="preserve">AC-03 — Terminated access not revoked timely —</w:t>
      </w:r>
      <w:r>
        <w:t xml:space="preserve"> </w:t>
      </w:r>
      <w:r>
        <w:rPr>
          <w:bCs/>
          <w:b/>
        </w:rPr>
        <w:t xml:space="preserve">Significant Deficiency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Condition:</w:t>
      </w:r>
      <w:r>
        <w:t xml:space="preserve"> </w:t>
      </w:r>
      <w:r>
        <w:t xml:space="preserve">In a sample of 15 terminations, access was not revoked within the</w:t>
      </w:r>
      <w:r>
        <w:t xml:space="preserve"> </w:t>
      </w:r>
      <w:r>
        <w:t xml:space="preserve">24-hour SLA for several separated users.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Former employees may retain access to financial systems — an access and</w:t>
      </w:r>
      <w:r>
        <w:t xml:space="preserve"> </w:t>
      </w:r>
      <w:r>
        <w:t xml:space="preserve">fraud risk.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Automate deprovisioning via an HR-triggered workflow; monitor SLA.</w:t>
      </w:r>
    </w:p>
    <w:bookmarkEnd w:id="32"/>
    <w:bookmarkStart w:id="33" w:name="X12f1ce1c1d3af62ee69e1336d9f63bef4e04d42"/>
    <w:p>
      <w:pPr>
        <w:pStyle w:val="Heading3"/>
      </w:pPr>
      <w:r>
        <w:t xml:space="preserve">AC-02 — Quarterly access recertification not consistently performed —</w:t>
      </w:r>
      <w:r>
        <w:t xml:space="preserve"> </w:t>
      </w:r>
      <w:r>
        <w:rPr>
          <w:bCs/>
          <w:b/>
        </w:rPr>
        <w:t xml:space="preserve">Significant Deficiency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Condition:</w:t>
      </w:r>
      <w:r>
        <w:t xml:space="preserve"> </w:t>
      </w:r>
      <w:r>
        <w:t xml:space="preserve">Recertification evidence was missing for part of the year.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Access creep — users may accumulate inappropriate access undetected.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Formalize and enforce quarterly recertification with tracked completion.</w:t>
      </w:r>
    </w:p>
    <w:bookmarkEnd w:id="33"/>
    <w:bookmarkStart w:id="34" w:name="Xaa75dd4a341961bd94dce21808dc00ca6948098"/>
    <w:p>
      <w:pPr>
        <w:pStyle w:val="Heading3"/>
      </w:pPr>
      <w:r>
        <w:t xml:space="preserve">AC-06 — Segregation-of-duties conflicts unresolved —</w:t>
      </w:r>
      <w:r>
        <w:t xml:space="preserve"> </w:t>
      </w:r>
      <w:r>
        <w:rPr>
          <w:bCs/>
          <w:b/>
        </w:rPr>
        <w:t xml:space="preserve">Control Deficiency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Condition:</w:t>
      </w:r>
      <w:r>
        <w:t xml:space="preserve"> </w:t>
      </w:r>
      <w:r>
        <w:t xml:space="preserve">The SoD conflict report shows unresolved conflicting access grants.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Implement an SoD ruleset and remediate the conflicting grants.</w:t>
      </w:r>
    </w:p>
    <w:bookmarkEnd w:id="34"/>
    <w:bookmarkStart w:id="35" w:name="X94dc69e3921121e0662a7285b90899dd44ba4c9"/>
    <w:p>
      <w:pPr>
        <w:pStyle w:val="Heading3"/>
      </w:pPr>
      <w:r>
        <w:t xml:space="preserve">CO-02 — Backups not restore-tested —</w:t>
      </w:r>
      <w:r>
        <w:t xml:space="preserve"> </w:t>
      </w:r>
      <w:r>
        <w:rPr>
          <w:bCs/>
          <w:b/>
        </w:rPr>
        <w:t xml:space="preserve">Control Deficiency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Condition:</w:t>
      </w:r>
      <w:r>
        <w:t xml:space="preserve"> </w:t>
      </w:r>
      <w:r>
        <w:t xml:space="preserve">Backups run, but restoration has not been periodically tested.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Establish documented periodic restore testing with retained evidence.</w:t>
      </w:r>
    </w:p>
    <w:bookmarkEnd w:id="35"/>
    <w:bookmarkEnd w:id="36"/>
    <w:bookmarkStart w:id="37" w:name="remediation-priority"/>
    <w:p>
      <w:pPr>
        <w:pStyle w:val="Heading2"/>
      </w:pPr>
      <w:r>
        <w:t xml:space="preserve">3. Remediation priority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1926"/>
        <w:gridCol w:w="2140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dev prod access; controlled CI/CD with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timely deprovisioning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quarterly access recertification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SoD ruleset; clear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Periodic, evidenced restore testing</w:t>
            </w:r>
          </w:p>
        </w:tc>
      </w:tr>
    </w:tbl>
    <w:p>
      <w:pPr>
        <w:pStyle w:val="BodyText"/>
      </w:pPr>
      <w:r>
        <w:t xml:space="preserve">The material weakness (CM-03) must be remediated and the control operating effectively</w:t>
      </w:r>
      <w:r>
        <w:t xml:space="preserve"> </w:t>
      </w:r>
      <w:r>
        <w:t xml:space="preserve">for a period before management could assert ITGC is effective. Access-domain</w:t>
      </w:r>
      <w:r>
        <w:t xml:space="preserve"> </w:t>
      </w:r>
      <w:r>
        <w:t xml:space="preserve">deficiencies cluster around identity lifecycle and are addressable with automation.</w:t>
      </w:r>
    </w:p>
    <w:bookmarkEnd w:id="37"/>
    <w:bookmarkStart w:id="38" w:name="how-to-reproduce"/>
    <w:p>
      <w:pPr>
        <w:pStyle w:val="Heading2"/>
      </w:pPr>
      <w:r>
        <w:t xml:space="preserve">4. How to reproduce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scripts/requirements.txt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scripts/itgc_assessment.py</w:t>
      </w:r>
      <w:r>
        <w:br/>
      </w:r>
      <w:r>
        <w:rPr>
          <w:rStyle w:val="CommentTok"/>
        </w:rPr>
        <w:t xml:space="preserve"># regenerates outputs/: assessment summary + status chart</w:t>
      </w:r>
    </w:p>
    <w:bookmarkEnd w:id="38"/>
    <w:bookmarkStart w:id="39" w:name="standards-referenced"/>
    <w:p>
      <w:pPr>
        <w:pStyle w:val="Heading2"/>
      </w:pPr>
      <w:r>
        <w:t xml:space="preserve">5. Standards referenced</w:t>
      </w:r>
    </w:p>
    <w:p>
      <w:pPr>
        <w:numPr>
          <w:ilvl w:val="0"/>
          <w:numId w:val="1007"/>
        </w:numPr>
        <w:pStyle w:val="Compact"/>
      </w:pPr>
      <w:r>
        <w:t xml:space="preserve">Sarbanes-Oxley Act of 2002, Section 404 (ICFR)</w:t>
      </w:r>
    </w:p>
    <w:p>
      <w:pPr>
        <w:numPr>
          <w:ilvl w:val="0"/>
          <w:numId w:val="1007"/>
        </w:numPr>
        <w:pStyle w:val="Compact"/>
      </w:pPr>
      <w:r>
        <w:t xml:space="preserve">PCAOB Auditing Standard 2201 (deficiency severity definitions)</w:t>
      </w:r>
    </w:p>
    <w:p>
      <w:pPr>
        <w:numPr>
          <w:ilvl w:val="0"/>
          <w:numId w:val="1007"/>
        </w:numPr>
        <w:pStyle w:val="Compact"/>
      </w:pPr>
      <w:r>
        <w:t xml:space="preserve">COSO Internal Control — Integrated Framework (control environment)</w:t>
      </w:r>
    </w:p>
    <w:p>
      <w:r>
        <w:pict>
          <v:rect style="width:0;height:1.5pt" o:hralign="center" o:hrstd="t" o:hr="t"/>
        </w:pic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20" Target="../../risk-assessment-fin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risk-assessment-fin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2026-10-23T04:31:01Z</dcterms:created>
  <dcterms:modified xsi:type="dcterms:W3CDTF">2026-10-23T04:31:01Z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