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spacing w:before="450" w:after="100"/>
      </w:pPr>
      <w:r>
        <w:rPr>
          <w:b/>
          <w:sz w:val="34"/>
          <w:szCs w:val="34"/>
          <w:color w:val="123047"/>
        </w:rPr>
        <w:t xml:space="preserve">DOCUMENTATION FONCTIONNELLE ET TECHNIQUE</w:t>
      </w:r>
    </w:p>
    <w:p>
      <w:pPr>
        <w:jc w:val="center"/>
        <w:spacing w:before="10" w:after="40"/>
      </w:pPr>
      <w:r>
        <w:rPr>
          <w:sz w:val="22"/>
          <w:szCs w:val="22"/>
          <w:color w:val="4F7AA0"/>
        </w:rPr>
        <w:t xml:space="preserve">Application de gestion transport, logistique, maintenance et paiements</w:t>
      </w:r>
    </w:p>
    <w:p>
      <w:pPr>
        <w:jc w:val="center"/>
        <w:spacing w:before="10" w:after="10"/>
      </w:pPr>
      <w:r>
        <w:rPr>
          <w:sz w:val="18"/>
          <w:szCs w:val="18"/>
          <w:color w:val="2EA287"/>
        </w:rPr>
        <w:t xml:space="preserve">Version de reference : Avril 2026</w:t>
      </w:r>
    </w:p>
    <w:p>
      <w:pPr>
        <w:jc w:val="center"/>
        <w:spacing w:before="10" w:after="180"/>
      </w:pPr>
      <w:r>
        <w:rPr>
          <w:sz w:val="18"/>
          <w:szCs w:val="18"/>
          <w:color w:val="17324D"/>
        </w:rPr>
        <w:t xml:space="preserve">Document de remise professionnelle</w:t>
      </w:r>
    </w:p>
    <w:p>
      <w:pPr>
        <w:jc w:val="center"/>
        <w:spacing w:before="20" w:after="140"/>
      </w:pPr>
      <w:r>
        <w:rPr>
          <w:sz w:val="16"/>
          <w:szCs w:val="16"/>
          <w:color w:val="17324D"/>
        </w:rPr>
        <w:t xml:space="preserve">Ce document presente de maniere structuree l'architecture, les modules, les workflows, la base de donnees et les indicateurs techniques de l'application.</w:t>
      </w:r>
    </w:p>
    <w:p>
      <w:pPr>
        <w:pStyle w:val="Heading1"/>
        <w:pageBreakBefore/>
        <w:spacing w:before="60" w:after="20"/>
      </w:pPr>
      <w:r>
        <w:rPr>
          <w:b/>
          <w:sz w:val="26"/>
          <w:szCs w:val="26"/>
          <w:color w:val="123047"/>
        </w:rPr>
        <w:t xml:space="preserve">1. Presentation generale</w:t>
      </w:r>
    </w:p>
    <w:p>
      <w:pPr>
        <w:spacing w:before="10" w:after="20"/>
      </w:pPr>
      <w:r>
        <w:rPr>
          <w:sz w:val="18"/>
          <w:szCs w:val="18"/>
        </w:rPr>
        <w:t xml:space="preserve">L'application est une plateforme web metier developpee pour centraliser la gestion des activites de transport, de logistique, de flotte, de maintenance, de paiements et de suivi administratif. Elle permet de piloter les operations depuis la commande client jusqu'au suivi des bons de livraison et au traitement complet des maintenances.</w:t>
      </w:r>
    </w:p>
    <w:p>
      <w:pPr>
        <w:pStyle w:val="Heading1"/>
        <w:spacing w:before="60" w:after="20"/>
      </w:pPr>
      <w:r>
        <w:rPr>
          <w:b/>
          <w:sz w:val="26"/>
          <w:szCs w:val="26"/>
          <w:color w:val="123047"/>
        </w:rPr>
        <w:t xml:space="preserve">2. Objectifs du systeme</w:t>
      </w:r>
    </w:p>
    <w:p>
      <w:pPr>
        <w:ind w:left="700" w:hanging="240"/>
        <w:spacing w:before="10" w:after="10"/>
      </w:pPr>
      <w:r>
        <w:rPr>
          <w:b/>
          <w:color w:val="2EA287"/>
        </w:rPr>
        <w:t>- </w:t>
      </w:r>
      <w:r>
        <w:t xml:space="preserve">Centraliser les informations metier dans une base unique.</w:t>
      </w:r>
    </w:p>
    <w:p>
      <w:pPr>
        <w:ind w:left="700" w:hanging="240"/>
        <w:spacing w:before="10" w:after="10"/>
      </w:pPr>
      <w:r>
        <w:rPr>
          <w:b/>
          <w:color w:val="2EA287"/>
        </w:rPr>
        <w:t>- </w:t>
      </w:r>
      <w:r>
        <w:t xml:space="preserve">Securiser les workflows avec des roles et niveaux de validation distincts.</w:t>
      </w:r>
    </w:p>
    <w:p>
      <w:pPr>
        <w:ind w:left="700" w:hanging="240"/>
        <w:spacing w:before="10" w:after="10"/>
      </w:pPr>
      <w:r>
        <w:rPr>
          <w:b/>
          <w:color w:val="2EA287"/>
        </w:rPr>
        <w:t>- </w:t>
      </w:r>
      <w:r>
        <w:t xml:space="preserve">Assurer la tracabilite des operations, maintenances, paiements et actions utilisateurs.</w:t>
      </w:r>
    </w:p>
    <w:p>
      <w:pPr>
        <w:ind w:left="700" w:hanging="240"/>
        <w:spacing w:before="10" w:after="10"/>
      </w:pPr>
      <w:r>
        <w:rPr>
          <w:b/>
          <w:color w:val="2EA287"/>
        </w:rPr>
        <w:t>- </w:t>
      </w:r>
      <w:r>
        <w:t xml:space="preserve">Produire des indicateurs de pilotage et des exports PDF / Excel.</w:t>
      </w:r>
    </w:p>
    <w:p>
      <w:pPr>
        <w:ind w:left="700" w:hanging="240"/>
        <w:spacing w:before="10" w:after="10"/>
      </w:pPr>
      <w:r>
        <w:rPr>
          <w:b/>
          <w:color w:val="2EA287"/>
        </w:rPr>
        <w:t>- </w:t>
      </w:r>
      <w:r>
        <w:t xml:space="preserve">Faciliter l'exploitation terrain, le suivi de flotte et le reporting de gestion.</w:t>
      </w:r>
    </w:p>
    <w:p>
      <w:pPr>
        <w:pStyle w:val="Heading1"/>
        <w:spacing w:before="60" w:after="20"/>
      </w:pPr>
      <w:r>
        <w:rPr>
          <w:b/>
          <w:sz w:val="26"/>
          <w:szCs w:val="26"/>
          <w:color w:val="123047"/>
        </w:rPr>
        <w:t xml:space="preserve">3. Architecture technique</w:t>
      </w:r>
    </w:p>
    <w:tbl>
      <w:tblPr>
        <w:tblStyle w:val="TableGrid"/>
        <w:tblW w:w="0" w:type="auto"/>
        <w:tblBorders>
          <w:top w:val="single" w:sz="8" w:color="D9E2E8"/>
          <w:left w:val="single" w:sz="8" w:color="D9E2E8"/>
          <w:bottom w:val="single" w:sz="8" w:color="D9E2E8"/>
          <w:right w:val="single" w:sz="8" w:color="D9E2E8"/>
          <w:insideH w:val="single" w:sz="6" w:color="D9E2E8"/>
          <w:insideV w:val="single" w:sz="6" w:color="D9E2E8"/>
        </w:tblBorders>
      </w:tblPr>
      <w:tblGrid>
        <w:gridCol w:w="3200"/>
        <w:gridCol w:w="6200"/>
      </w:tblGrid>
      <w:tr>
        <w:tc>
          <w:tcPr>
            <w:tcW w:w="3200" w:type="dxa"/>
            <w:shd w:val="clear" w:fill="EAF4FB"/>
            <w:vAlign w:val="center"/>
          </w:tcPr>
          <w:p>
            <w:pPr>
              <w:spacing w:before="30" w:after="30"/>
            </w:pPr>
            <w:r>
              <w:rPr>
                <w:b/>
                <w:sz w:val="18"/>
                <w:szCs w:val="18"/>
              </w:rPr>
              <w:t xml:space="preserve">Composant</w:t>
            </w:r>
          </w:p>
        </w:tc>
        <w:tc>
          <w:tcPr>
            <w:tcW w:w="6200" w:type="dxa"/>
            <w:shd w:val="clear" w:fill="EAF4FB"/>
            <w:vAlign w:val="center"/>
          </w:tcPr>
          <w:p>
            <w:pPr>
              <w:spacing w:before="30" w:after="30"/>
            </w:pPr>
            <w:r>
              <w:rPr>
                <w:b/>
                <w:sz w:val="18"/>
                <w:szCs w:val="18"/>
              </w:rPr>
              <w:t xml:space="preserve">Description</w:t>
            </w:r>
          </w:p>
        </w:tc>
      </w:tr>
      <w:tr>
        <w:tc>
          <w:tcPr>
            <w:tcW w:w="3200" w:type="dxa"/>
            <w:shd w:val="clear" w:fill="FFFFFF"/>
            <w:vAlign w:val="center"/>
          </w:tcPr>
          <w:p>
            <w:pPr>
              <w:spacing w:before="30" w:after="30"/>
            </w:pPr>
            <w:r>
              <w:rPr>
                <w:sz w:val="18"/>
                <w:szCs w:val="18"/>
              </w:rPr>
              <w:t xml:space="preserve">Framework applicatif</w:t>
            </w:r>
          </w:p>
        </w:tc>
        <w:tc>
          <w:tcPr>
            <w:tcW w:w="6200" w:type="dxa"/>
            <w:shd w:val="clear" w:fill="FFFFFF"/>
            <w:vAlign w:val="center"/>
          </w:tcPr>
          <w:p>
            <w:pPr>
              <w:spacing w:before="30" w:after="30"/>
            </w:pPr>
            <w:r>
              <w:rPr>
                <w:sz w:val="18"/>
                <w:szCs w:val="18"/>
              </w:rPr>
              <w:t xml:space="preserve">Python / Django</w:t>
            </w:r>
          </w:p>
        </w:tc>
      </w:tr>
      <w:tr>
        <w:tc>
          <w:tcPr>
            <w:tcW w:w="3200" w:type="dxa"/>
            <w:shd w:val="clear" w:fill="FFFFFF"/>
            <w:vAlign w:val="center"/>
          </w:tcPr>
          <w:p>
            <w:pPr>
              <w:spacing w:before="30" w:after="30"/>
            </w:pPr>
            <w:r>
              <w:rPr>
                <w:sz w:val="18"/>
                <w:szCs w:val="18"/>
              </w:rPr>
              <w:t xml:space="preserve">Interface</w:t>
            </w:r>
          </w:p>
        </w:tc>
        <w:tc>
          <w:tcPr>
            <w:tcW w:w="6200" w:type="dxa"/>
            <w:shd w:val="clear" w:fill="FFFFFF"/>
            <w:vAlign w:val="center"/>
          </w:tcPr>
          <w:p>
            <w:pPr>
              <w:spacing w:before="30" w:after="30"/>
            </w:pPr>
            <w:r>
              <w:rPr>
                <w:sz w:val="18"/>
                <w:szCs w:val="18"/>
              </w:rPr>
              <w:t xml:space="preserve">Templates HTML, CSS, JavaScript</w:t>
            </w:r>
          </w:p>
        </w:tc>
      </w:tr>
      <w:tr>
        <w:tc>
          <w:tcPr>
            <w:tcW w:w="3200" w:type="dxa"/>
            <w:shd w:val="clear" w:fill="FFFFFF"/>
            <w:vAlign w:val="center"/>
          </w:tcPr>
          <w:p>
            <w:pPr>
              <w:spacing w:before="30" w:after="30"/>
            </w:pPr>
            <w:r>
              <w:rPr>
                <w:sz w:val="18"/>
                <w:szCs w:val="18"/>
              </w:rPr>
              <w:t xml:space="preserve">Base locale</w:t>
            </w:r>
          </w:p>
        </w:tc>
        <w:tc>
          <w:tcPr>
            <w:tcW w:w="6200" w:type="dxa"/>
            <w:shd w:val="clear" w:fill="FFFFFF"/>
            <w:vAlign w:val="center"/>
          </w:tcPr>
          <w:p>
            <w:pPr>
              <w:spacing w:before="30" w:after="30"/>
            </w:pPr>
            <w:r>
              <w:rPr>
                <w:sz w:val="18"/>
                <w:szCs w:val="18"/>
              </w:rPr>
              <w:t xml:space="preserve">SQLite pour developpement</w:t>
            </w:r>
          </w:p>
        </w:tc>
      </w:tr>
      <w:tr>
        <w:tc>
          <w:tcPr>
            <w:tcW w:w="3200" w:type="dxa"/>
            <w:shd w:val="clear" w:fill="FFFFFF"/>
            <w:vAlign w:val="center"/>
          </w:tcPr>
          <w:p>
            <w:pPr>
              <w:spacing w:before="30" w:after="30"/>
            </w:pPr>
            <w:r>
              <w:rPr>
                <w:sz w:val="18"/>
                <w:szCs w:val="18"/>
              </w:rPr>
              <w:t xml:space="preserve">Base de production</w:t>
            </w:r>
          </w:p>
        </w:tc>
        <w:tc>
          <w:tcPr>
            <w:tcW w:w="6200" w:type="dxa"/>
            <w:shd w:val="clear" w:fill="FFFFFF"/>
            <w:vAlign w:val="center"/>
          </w:tcPr>
          <w:p>
            <w:pPr>
              <w:spacing w:before="30" w:after="30"/>
            </w:pPr>
            <w:r>
              <w:rPr>
                <w:sz w:val="18"/>
                <w:szCs w:val="18"/>
              </w:rPr>
              <w:t xml:space="preserve">PostgreSQL sur Railway</w:t>
            </w:r>
          </w:p>
        </w:tc>
      </w:tr>
      <w:tr>
        <w:tc>
          <w:tcPr>
            <w:tcW w:w="3200" w:type="dxa"/>
            <w:shd w:val="clear" w:fill="FFFFFF"/>
            <w:vAlign w:val="center"/>
          </w:tcPr>
          <w:p>
            <w:pPr>
              <w:spacing w:before="30" w:after="30"/>
            </w:pPr>
            <w:r>
              <w:rPr>
                <w:sz w:val="18"/>
                <w:szCs w:val="18"/>
              </w:rPr>
              <w:t xml:space="preserve">Hebergement</w:t>
            </w:r>
          </w:p>
        </w:tc>
        <w:tc>
          <w:tcPr>
            <w:tcW w:w="6200" w:type="dxa"/>
            <w:shd w:val="clear" w:fill="FFFFFF"/>
            <w:vAlign w:val="center"/>
          </w:tcPr>
          <w:p>
            <w:pPr>
              <w:spacing w:before="30" w:after="30"/>
            </w:pPr>
            <w:r>
              <w:rPr>
                <w:sz w:val="18"/>
                <w:szCs w:val="18"/>
              </w:rPr>
              <w:t xml:space="preserve">Railway</w:t>
            </w:r>
          </w:p>
        </w:tc>
      </w:tr>
      <w:tr>
        <w:tc>
          <w:tcPr>
            <w:tcW w:w="3200" w:type="dxa"/>
            <w:shd w:val="clear" w:fill="FFFFFF"/>
            <w:vAlign w:val="center"/>
          </w:tcPr>
          <w:p>
            <w:pPr>
              <w:spacing w:before="30" w:after="30"/>
            </w:pPr>
            <w:r>
              <w:rPr>
                <w:sz w:val="18"/>
                <w:szCs w:val="18"/>
              </w:rPr>
              <w:t xml:space="preserve">Exports</w:t>
            </w:r>
          </w:p>
        </w:tc>
        <w:tc>
          <w:tcPr>
            <w:tcW w:w="6200" w:type="dxa"/>
            <w:shd w:val="clear" w:fill="FFFFFF"/>
            <w:vAlign w:val="center"/>
          </w:tcPr>
          <w:p>
            <w:pPr>
              <w:spacing w:before="30" w:after="30"/>
            </w:pPr>
            <w:r>
              <w:rPr>
                <w:sz w:val="18"/>
                <w:szCs w:val="18"/>
              </w:rPr>
              <w:t xml:space="preserve">PDF et Excel</w:t>
            </w:r>
          </w:p>
        </w:tc>
      </w:tr>
      <w:tr>
        <w:tc>
          <w:tcPr>
            <w:tcW w:w="3200" w:type="dxa"/>
            <w:shd w:val="clear" w:fill="FFFFFF"/>
            <w:vAlign w:val="center"/>
          </w:tcPr>
          <w:p>
            <w:pPr>
              <w:spacing w:before="30" w:after="30"/>
            </w:pPr>
            <w:r>
              <w:rPr>
                <w:sz w:val="18"/>
                <w:szCs w:val="18"/>
              </w:rPr>
              <w:t xml:space="preserve">Securite</w:t>
            </w:r>
          </w:p>
        </w:tc>
        <w:tc>
          <w:tcPr>
            <w:tcW w:w="6200" w:type="dxa"/>
            <w:shd w:val="clear" w:fill="FFFFFF"/>
            <w:vAlign w:val="center"/>
          </w:tcPr>
          <w:p>
            <w:pPr>
              <w:spacing w:before="30" w:after="30"/>
            </w:pPr>
            <w:r>
              <w:rPr>
                <w:sz w:val="18"/>
                <w:szCs w:val="18"/>
              </w:rPr>
              <w:t xml:space="preserve">Authentification, sessions, permissions par role</w:t>
            </w:r>
          </w:p>
        </w:tc>
      </w:tr>
    </w:tbl>
    <w:p>
      <w:pPr>
        <w:pStyle w:val="Heading1"/>
        <w:spacing w:before="60" w:after="20"/>
      </w:pPr>
      <w:r>
        <w:rPr>
          <w:b/>
          <w:sz w:val="26"/>
          <w:szCs w:val="26"/>
          <w:color w:val="123047"/>
        </w:rPr>
        <w:t xml:space="preserve">4. Modules fonctionnels</w:t>
      </w:r>
    </w:p>
    <w:tbl>
      <w:tblPr>
        <w:tblStyle w:val="TableGrid"/>
        <w:tblW w:w="0" w:type="auto"/>
        <w:tblBorders>
          <w:top w:val="single" w:sz="8" w:color="D9E2E8"/>
          <w:left w:val="single" w:sz="8" w:color="D9E2E8"/>
          <w:bottom w:val="single" w:sz="8" w:color="D9E2E8"/>
          <w:right w:val="single" w:sz="8" w:color="D9E2E8"/>
          <w:insideH w:val="single" w:sz="6" w:color="D9E2E8"/>
          <w:insideV w:val="single" w:sz="6" w:color="D9E2E8"/>
        </w:tblBorders>
      </w:tblPr>
      <w:tblGrid>
        <w:gridCol w:w="2800"/>
        <w:gridCol w:w="6600"/>
      </w:tblGrid>
      <w:tr>
        <w:tc>
          <w:tcPr>
            <w:tcW w:w="2800" w:type="dxa"/>
            <w:shd w:val="clear" w:fill="EAF4FB"/>
            <w:vAlign w:val="center"/>
          </w:tcPr>
          <w:p>
            <w:pPr>
              <w:spacing w:before="30" w:after="30"/>
            </w:pPr>
            <w:r>
              <w:rPr>
                <w:b/>
                <w:sz w:val="18"/>
                <w:szCs w:val="18"/>
              </w:rPr>
              <w:t xml:space="preserve">Module</w:t>
            </w:r>
          </w:p>
        </w:tc>
        <w:tc>
          <w:tcPr>
            <w:tcW w:w="6600" w:type="dxa"/>
            <w:shd w:val="clear" w:fill="EAF4FB"/>
            <w:vAlign w:val="center"/>
          </w:tcPr>
          <w:p>
            <w:pPr>
              <w:spacing w:before="30" w:after="30"/>
            </w:pPr>
            <w:r>
              <w:rPr>
                <w:b/>
                <w:sz w:val="18"/>
                <w:szCs w:val="18"/>
              </w:rPr>
              <w:t xml:space="preserve">Fonction principale</w:t>
            </w:r>
          </w:p>
        </w:tc>
      </w:tr>
      <w:tr>
        <w:tc>
          <w:tcPr>
            <w:tcW w:w="2800" w:type="dxa"/>
            <w:shd w:val="clear" w:fill="FFFFFF"/>
            <w:vAlign w:val="center"/>
          </w:tcPr>
          <w:p>
            <w:pPr>
              <w:spacing w:before="30" w:after="30"/>
            </w:pPr>
            <w:r>
              <w:rPr>
                <w:sz w:val="18"/>
                <w:szCs w:val="18"/>
              </w:rPr>
              <w:t xml:space="preserve">Prospects</w:t>
            </w:r>
          </w:p>
        </w:tc>
        <w:tc>
          <w:tcPr>
            <w:tcW w:w="6600" w:type="dxa"/>
            <w:shd w:val="clear" w:fill="FFFFFF"/>
            <w:vAlign w:val="center"/>
          </w:tcPr>
          <w:p>
            <w:pPr>
              <w:spacing w:before="30" w:after="30"/>
            </w:pPr>
            <w:r>
              <w:rPr>
                <w:sz w:val="18"/>
                <w:szCs w:val="18"/>
              </w:rPr>
              <w:t xml:space="preserve">Gestion du portefeuille commercial amont</w:t>
            </w:r>
          </w:p>
        </w:tc>
      </w:tr>
      <w:tr>
        <w:tc>
          <w:tcPr>
            <w:tcW w:w="2800" w:type="dxa"/>
            <w:shd w:val="clear" w:fill="FFFFFF"/>
            <w:vAlign w:val="center"/>
          </w:tcPr>
          <w:p>
            <w:pPr>
              <w:spacing w:before="30" w:after="30"/>
            </w:pPr>
            <w:r>
              <w:rPr>
                <w:sz w:val="18"/>
                <w:szCs w:val="18"/>
              </w:rPr>
              <w:t xml:space="preserve">Clients</w:t>
            </w:r>
          </w:p>
        </w:tc>
        <w:tc>
          <w:tcPr>
            <w:tcW w:w="6600" w:type="dxa"/>
            <w:shd w:val="clear" w:fill="FFFFFF"/>
            <w:vAlign w:val="center"/>
          </w:tcPr>
          <w:p>
            <w:pPr>
              <w:spacing w:before="30" w:after="30"/>
            </w:pPr>
            <w:r>
              <w:rPr>
                <w:sz w:val="18"/>
                <w:szCs w:val="18"/>
              </w:rPr>
              <w:t xml:space="preserve">Gestion des clients et conversion des prospects</w:t>
            </w:r>
          </w:p>
        </w:tc>
      </w:tr>
      <w:tr>
        <w:tc>
          <w:tcPr>
            <w:tcW w:w="2800" w:type="dxa"/>
            <w:shd w:val="clear" w:fill="FFFFFF"/>
            <w:vAlign w:val="center"/>
          </w:tcPr>
          <w:p>
            <w:pPr>
              <w:spacing w:before="30" w:after="30"/>
            </w:pPr>
            <w:r>
              <w:rPr>
                <w:sz w:val="18"/>
                <w:szCs w:val="18"/>
              </w:rPr>
              <w:t xml:space="preserve">Commandes</w:t>
            </w:r>
          </w:p>
        </w:tc>
        <w:tc>
          <w:tcPr>
            <w:tcW w:w="6600" w:type="dxa"/>
            <w:shd w:val="clear" w:fill="FFFFFF"/>
            <w:vAlign w:val="center"/>
          </w:tcPr>
          <w:p>
            <w:pPr>
              <w:spacing w:before="30" w:after="30"/>
            </w:pPr>
            <w:r>
              <w:rPr>
                <w:sz w:val="18"/>
                <w:szCs w:val="18"/>
              </w:rPr>
              <w:t xml:space="preserve">Cycle de commande avec validations DGA / DG</w:t>
            </w:r>
          </w:p>
        </w:tc>
      </w:tr>
      <w:tr>
        <w:tc>
          <w:tcPr>
            <w:tcW w:w="2800" w:type="dxa"/>
            <w:shd w:val="clear" w:fill="FFFFFF"/>
            <w:vAlign w:val="center"/>
          </w:tcPr>
          <w:p>
            <w:pPr>
              <w:spacing w:before="30" w:after="30"/>
            </w:pPr>
            <w:r>
              <w:rPr>
                <w:sz w:val="18"/>
                <w:szCs w:val="18"/>
              </w:rPr>
              <w:t xml:space="preserve">Operations</w:t>
            </w:r>
          </w:p>
        </w:tc>
        <w:tc>
          <w:tcPr>
            <w:tcW w:w="6600" w:type="dxa"/>
            <w:shd w:val="clear" w:fill="FFFFFF"/>
            <w:vAlign w:val="center"/>
          </w:tcPr>
          <w:p>
            <w:pPr>
              <w:spacing w:before="30" w:after="30"/>
            </w:pPr>
            <w:r>
              <w:rPr>
                <w:sz w:val="18"/>
                <w:szCs w:val="18"/>
              </w:rPr>
              <w:t xml:space="preserve">Gestion des BL, etats, affectations et suivi de transport</w:t>
            </w:r>
          </w:p>
        </w:tc>
      </w:tr>
      <w:tr>
        <w:tc>
          <w:tcPr>
            <w:tcW w:w="2800" w:type="dxa"/>
            <w:shd w:val="clear" w:fill="FFFFFF"/>
            <w:vAlign w:val="center"/>
          </w:tcPr>
          <w:p>
            <w:pPr>
              <w:spacing w:before="30" w:after="30"/>
            </w:pPr>
            <w:r>
              <w:rPr>
                <w:sz w:val="18"/>
                <w:szCs w:val="18"/>
              </w:rPr>
              <w:t xml:space="preserve">Camions</w:t>
            </w:r>
          </w:p>
        </w:tc>
        <w:tc>
          <w:tcPr>
            <w:tcW w:w="6600" w:type="dxa"/>
            <w:shd w:val="clear" w:fill="FFFFFF"/>
            <w:vAlign w:val="center"/>
          </w:tcPr>
          <w:p>
            <w:pPr>
              <w:spacing w:before="30" w:after="30"/>
            </w:pPr>
            <w:r>
              <w:rPr>
                <w:sz w:val="18"/>
                <w:szCs w:val="18"/>
              </w:rPr>
              <w:t xml:space="preserve">Gestion de flotte, capacites, kilometrage, tracking</w:t>
            </w:r>
          </w:p>
        </w:tc>
      </w:tr>
      <w:tr>
        <w:tc>
          <w:tcPr>
            <w:tcW w:w="2800" w:type="dxa"/>
            <w:shd w:val="clear" w:fill="FFFFFF"/>
            <w:vAlign w:val="center"/>
          </w:tcPr>
          <w:p>
            <w:pPr>
              <w:spacing w:before="30" w:after="30"/>
            </w:pPr>
            <w:r>
              <w:rPr>
                <w:sz w:val="18"/>
                <w:szCs w:val="18"/>
              </w:rPr>
              <w:t xml:space="preserve">Chauffeurs</w:t>
            </w:r>
          </w:p>
        </w:tc>
        <w:tc>
          <w:tcPr>
            <w:tcW w:w="6600" w:type="dxa"/>
            <w:shd w:val="clear" w:fill="FFFFFF"/>
            <w:vAlign w:val="center"/>
          </w:tcPr>
          <w:p>
            <w:pPr>
              <w:spacing w:before="30" w:after="30"/>
            </w:pPr>
            <w:r>
              <w:rPr>
                <w:sz w:val="18"/>
                <w:szCs w:val="18"/>
              </w:rPr>
              <w:t xml:space="preserve">Gestion des chauffeurs et rattachements</w:t>
            </w:r>
          </w:p>
        </w:tc>
      </w:tr>
      <w:tr>
        <w:tc>
          <w:tcPr>
            <w:tcW w:w="2800" w:type="dxa"/>
            <w:shd w:val="clear" w:fill="FFFFFF"/>
            <w:vAlign w:val="center"/>
          </w:tcPr>
          <w:p>
            <w:pPr>
              <w:spacing w:before="30" w:after="30"/>
            </w:pPr>
            <w:r>
              <w:rPr>
                <w:sz w:val="18"/>
                <w:szCs w:val="18"/>
              </w:rPr>
              <w:t xml:space="preserve">Documents</w:t>
            </w:r>
          </w:p>
        </w:tc>
        <w:tc>
          <w:tcPr>
            <w:tcW w:w="6600" w:type="dxa"/>
            <w:shd w:val="clear" w:fill="FFFFFF"/>
            <w:vAlign w:val="center"/>
          </w:tcPr>
          <w:p>
            <w:pPr>
              <w:spacing w:before="30" w:after="30"/>
            </w:pPr>
            <w:r>
              <w:rPr>
                <w:sz w:val="18"/>
                <w:szCs w:val="18"/>
              </w:rPr>
              <w:t xml:space="preserve">Suivi documentaire des vehicules</w:t>
            </w:r>
          </w:p>
        </w:tc>
      </w:tr>
      <w:tr>
        <w:tc>
          <w:tcPr>
            <w:tcW w:w="2800" w:type="dxa"/>
            <w:shd w:val="clear" w:fill="FFFFFF"/>
            <w:vAlign w:val="center"/>
          </w:tcPr>
          <w:p>
            <w:pPr>
              <w:spacing w:before="30" w:after="30"/>
            </w:pPr>
            <w:r>
              <w:rPr>
                <w:sz w:val="18"/>
                <w:szCs w:val="18"/>
              </w:rPr>
              <w:t xml:space="preserve">Maintenance</w:t>
            </w:r>
          </w:p>
        </w:tc>
        <w:tc>
          <w:tcPr>
            <w:tcW w:w="6600" w:type="dxa"/>
            <w:shd w:val="clear" w:fill="FFFFFF"/>
            <w:vAlign w:val="center"/>
          </w:tcPr>
          <w:p>
            <w:pPr>
              <w:spacing w:before="30" w:after="30"/>
            </w:pPr>
            <w:r>
              <w:rPr>
                <w:sz w:val="18"/>
                <w:szCs w:val="18"/>
              </w:rPr>
              <w:t xml:space="preserve">Diagnostics, prix, validations, paiements, historique</w:t>
            </w:r>
          </w:p>
        </w:tc>
      </w:tr>
      <w:tr>
        <w:tc>
          <w:tcPr>
            <w:tcW w:w="2800" w:type="dxa"/>
            <w:shd w:val="clear" w:fill="FFFFFF"/>
            <w:vAlign w:val="center"/>
          </w:tcPr>
          <w:p>
            <w:pPr>
              <w:spacing w:before="30" w:after="30"/>
            </w:pPr>
            <w:r>
              <w:rPr>
                <w:sz w:val="18"/>
                <w:szCs w:val="18"/>
              </w:rPr>
              <w:t xml:space="preserve">Fournisseurs / Prestataires</w:t>
            </w:r>
          </w:p>
        </w:tc>
        <w:tc>
          <w:tcPr>
            <w:tcW w:w="6600" w:type="dxa"/>
            <w:shd w:val="clear" w:fill="FFFFFF"/>
            <w:vAlign w:val="center"/>
          </w:tcPr>
          <w:p>
            <w:pPr>
              <w:spacing w:before="30" w:after="30"/>
            </w:pPr>
            <w:r>
              <w:rPr>
                <w:sz w:val="18"/>
                <w:szCs w:val="18"/>
              </w:rPr>
              <w:t xml:space="preserve">Referentiels d'achat et d'intervention</w:t>
            </w:r>
          </w:p>
        </w:tc>
      </w:tr>
      <w:tr>
        <w:tc>
          <w:tcPr>
            <w:tcW w:w="2800" w:type="dxa"/>
            <w:shd w:val="clear" w:fill="FFFFFF"/>
            <w:vAlign w:val="center"/>
          </w:tcPr>
          <w:p>
            <w:pPr>
              <w:spacing w:before="30" w:after="30"/>
            </w:pPr>
            <w:r>
              <w:rPr>
                <w:sz w:val="18"/>
                <w:szCs w:val="18"/>
              </w:rPr>
              <w:t xml:space="preserve">Dashboard</w:t>
            </w:r>
          </w:p>
        </w:tc>
        <w:tc>
          <w:tcPr>
            <w:tcW w:w="6600" w:type="dxa"/>
            <w:shd w:val="clear" w:fill="FFFFFF"/>
            <w:vAlign w:val="center"/>
          </w:tcPr>
          <w:p>
            <w:pPr>
              <w:spacing w:before="30" w:after="30"/>
            </w:pPr>
            <w:r>
              <w:rPr>
                <w:sz w:val="18"/>
                <w:szCs w:val="18"/>
              </w:rPr>
              <w:t xml:space="preserve">Statistiques, alertes et pilotage par role</w:t>
            </w:r>
          </w:p>
        </w:tc>
      </w:tr>
      <w:tr>
        <w:tc>
          <w:tcPr>
            <w:tcW w:w="2800" w:type="dxa"/>
            <w:shd w:val="clear" w:fill="FFFFFF"/>
            <w:vAlign w:val="center"/>
          </w:tcPr>
          <w:p>
            <w:pPr>
              <w:spacing w:before="30" w:after="30"/>
            </w:pPr>
            <w:r>
              <w:rPr>
                <w:sz w:val="18"/>
                <w:szCs w:val="18"/>
              </w:rPr>
              <w:t xml:space="preserve">Utilisateurs</w:t>
            </w:r>
          </w:p>
        </w:tc>
        <w:tc>
          <w:tcPr>
            <w:tcW w:w="6600" w:type="dxa"/>
            <w:shd w:val="clear" w:fill="FFFFFF"/>
            <w:vAlign w:val="center"/>
          </w:tcPr>
          <w:p>
            <w:pPr>
              <w:spacing w:before="30" w:after="30"/>
            </w:pPr>
            <w:r>
              <w:rPr>
                <w:sz w:val="18"/>
                <w:szCs w:val="18"/>
              </w:rPr>
              <w:t xml:space="preserve">Gestion des comptes, roles et historique d'actions</w:t>
            </w:r>
          </w:p>
        </w:tc>
      </w:tr>
    </w:tbl>
    <w:p>
      <w:pPr>
        <w:pStyle w:val="Heading1"/>
        <w:spacing w:before="60" w:after="20"/>
      </w:pPr>
      <w:r>
        <w:rPr>
          <w:b/>
          <w:sz w:val="26"/>
          <w:szCs w:val="26"/>
          <w:color w:val="123047"/>
        </w:rPr>
        <w:t xml:space="preserve">5. Profils et habilitations</w:t>
      </w:r>
    </w:p>
    <w:tbl>
      <w:tblPr>
        <w:tblStyle w:val="TableGrid"/>
        <w:tblW w:w="0" w:type="auto"/>
        <w:tblBorders>
          <w:top w:val="single" w:sz="8" w:color="D9E2E8"/>
          <w:left w:val="single" w:sz="8" w:color="D9E2E8"/>
          <w:bottom w:val="single" w:sz="8" w:color="D9E2E8"/>
          <w:right w:val="single" w:sz="8" w:color="D9E2E8"/>
          <w:insideH w:val="single" w:sz="6" w:color="D9E2E8"/>
          <w:insideV w:val="single" w:sz="6" w:color="D9E2E8"/>
        </w:tblBorders>
      </w:tblPr>
      <w:tblGrid>
        <w:gridCol w:w="2800"/>
        <w:gridCol w:w="6600"/>
      </w:tblGrid>
      <w:tr>
        <w:tc>
          <w:tcPr>
            <w:tcW w:w="2800" w:type="dxa"/>
            <w:shd w:val="clear" w:fill="EAF4FB"/>
            <w:vAlign w:val="center"/>
          </w:tcPr>
          <w:p>
            <w:pPr>
              <w:spacing w:before="30" w:after="30"/>
            </w:pPr>
            <w:r>
              <w:rPr>
                <w:b/>
                <w:sz w:val="18"/>
                <w:szCs w:val="18"/>
              </w:rPr>
              <w:t xml:space="preserve">Role</w:t>
            </w:r>
          </w:p>
        </w:tc>
        <w:tc>
          <w:tcPr>
            <w:tcW w:w="6600" w:type="dxa"/>
            <w:shd w:val="clear" w:fill="EAF4FB"/>
            <w:vAlign w:val="center"/>
          </w:tcPr>
          <w:p>
            <w:pPr>
              <w:spacing w:before="30" w:after="30"/>
            </w:pPr>
            <w:r>
              <w:rPr>
                <w:b/>
                <w:sz w:val="18"/>
                <w:szCs w:val="18"/>
              </w:rPr>
              <w:t xml:space="preserve">Perimetre principal</w:t>
            </w:r>
          </w:p>
        </w:tc>
      </w:tr>
      <w:tr>
        <w:tc>
          <w:tcPr>
            <w:tcW w:w="2800" w:type="dxa"/>
            <w:shd w:val="clear" w:fill="FFFFFF"/>
            <w:vAlign w:val="center"/>
          </w:tcPr>
          <w:p>
            <w:pPr>
              <w:spacing w:before="30" w:after="30"/>
            </w:pPr>
            <w:r>
              <w:rPr>
                <w:sz w:val="18"/>
                <w:szCs w:val="18"/>
              </w:rPr>
              <w:t xml:space="preserve">Commercial</w:t>
            </w:r>
          </w:p>
        </w:tc>
        <w:tc>
          <w:tcPr>
            <w:tcW w:w="6600" w:type="dxa"/>
            <w:shd w:val="clear" w:fill="FFFFFF"/>
            <w:vAlign w:val="center"/>
          </w:tcPr>
          <w:p>
            <w:pPr>
              <w:spacing w:before="30" w:after="30"/>
            </w:pPr>
            <w:r>
              <w:rPr>
                <w:sz w:val="18"/>
                <w:szCs w:val="18"/>
              </w:rPr>
              <w:t xml:space="preserve">Prospects, clients, commandes</w:t>
            </w:r>
          </w:p>
        </w:tc>
      </w:tr>
      <w:tr>
        <w:tc>
          <w:tcPr>
            <w:tcW w:w="2800" w:type="dxa"/>
            <w:shd w:val="clear" w:fill="FFFFFF"/>
            <w:vAlign w:val="center"/>
          </w:tcPr>
          <w:p>
            <w:pPr>
              <w:spacing w:before="30" w:after="30"/>
            </w:pPr>
            <w:r>
              <w:rPr>
                <w:sz w:val="18"/>
                <w:szCs w:val="18"/>
              </w:rPr>
              <w:t xml:space="preserve">Logistique</w:t>
            </w:r>
          </w:p>
        </w:tc>
        <w:tc>
          <w:tcPr>
            <w:tcW w:w="6600" w:type="dxa"/>
            <w:shd w:val="clear" w:fill="FFFFFF"/>
            <w:vAlign w:val="center"/>
          </w:tcPr>
          <w:p>
            <w:pPr>
              <w:spacing w:before="30" w:after="30"/>
            </w:pPr>
            <w:r>
              <w:rPr>
                <w:sz w:val="18"/>
                <w:szCs w:val="18"/>
              </w:rPr>
              <w:t xml:space="preserve">Affectation, prix maintenance, validations selon workflow</w:t>
            </w:r>
          </w:p>
        </w:tc>
      </w:tr>
      <w:tr>
        <w:tc>
          <w:tcPr>
            <w:tcW w:w="2800" w:type="dxa"/>
            <w:shd w:val="clear" w:fill="FFFFFF"/>
            <w:vAlign w:val="center"/>
          </w:tcPr>
          <w:p>
            <w:pPr>
              <w:spacing w:before="30" w:after="30"/>
            </w:pPr>
            <w:r>
              <w:rPr>
                <w:sz w:val="18"/>
                <w:szCs w:val="18"/>
              </w:rPr>
              <w:t xml:space="preserve">Maintenancier</w:t>
            </w:r>
          </w:p>
        </w:tc>
        <w:tc>
          <w:tcPr>
            <w:tcW w:w="6600" w:type="dxa"/>
            <w:shd w:val="clear" w:fill="FFFFFF"/>
            <w:vAlign w:val="center"/>
          </w:tcPr>
          <w:p>
            <w:pPr>
              <w:spacing w:before="30" w:after="30"/>
            </w:pPr>
            <w:r>
              <w:rPr>
                <w:sz w:val="18"/>
                <w:szCs w:val="18"/>
              </w:rPr>
              <w:t xml:space="preserve">Camions, chauffeurs, maintenance, documents</w:t>
            </w:r>
          </w:p>
        </w:tc>
      </w:tr>
      <w:tr>
        <w:tc>
          <w:tcPr>
            <w:tcW w:w="2800" w:type="dxa"/>
            <w:shd w:val="clear" w:fill="FFFFFF"/>
            <w:vAlign w:val="center"/>
          </w:tcPr>
          <w:p>
            <w:pPr>
              <w:spacing w:before="30" w:after="30"/>
            </w:pPr>
            <w:r>
              <w:rPr>
                <w:sz w:val="18"/>
                <w:szCs w:val="18"/>
              </w:rPr>
              <w:t xml:space="preserve">DGA</w:t>
            </w:r>
          </w:p>
        </w:tc>
        <w:tc>
          <w:tcPr>
            <w:tcW w:w="6600" w:type="dxa"/>
            <w:shd w:val="clear" w:fill="FFFFFF"/>
            <w:vAlign w:val="center"/>
          </w:tcPr>
          <w:p>
            <w:pPr>
              <w:spacing w:before="30" w:after="30"/>
            </w:pPr>
            <w:r>
              <w:rPr>
                <w:sz w:val="18"/>
                <w:szCs w:val="18"/>
              </w:rPr>
              <w:t xml:space="preserve">Validation intermediaire selon workflow</w:t>
            </w:r>
          </w:p>
        </w:tc>
      </w:tr>
      <w:tr>
        <w:tc>
          <w:tcPr>
            <w:tcW w:w="2800" w:type="dxa"/>
            <w:shd w:val="clear" w:fill="FFFFFF"/>
            <w:vAlign w:val="center"/>
          </w:tcPr>
          <w:p>
            <w:pPr>
              <w:spacing w:before="30" w:after="30"/>
            </w:pPr>
            <w:r>
              <w:rPr>
                <w:sz w:val="18"/>
                <w:szCs w:val="18"/>
              </w:rPr>
              <w:t xml:space="preserve">DG</w:t>
            </w:r>
          </w:p>
        </w:tc>
        <w:tc>
          <w:tcPr>
            <w:tcW w:w="6600" w:type="dxa"/>
            <w:shd w:val="clear" w:fill="FFFFFF"/>
            <w:vAlign w:val="center"/>
          </w:tcPr>
          <w:p>
            <w:pPr>
              <w:spacing w:before="30" w:after="30"/>
            </w:pPr>
            <w:r>
              <w:rPr>
                <w:sz w:val="18"/>
                <w:szCs w:val="18"/>
              </w:rPr>
              <w:t xml:space="preserve">Validation finale selon workflow</w:t>
            </w:r>
          </w:p>
        </w:tc>
      </w:tr>
      <w:tr>
        <w:tc>
          <w:tcPr>
            <w:tcW w:w="2800" w:type="dxa"/>
            <w:shd w:val="clear" w:fill="FFFFFF"/>
            <w:vAlign w:val="center"/>
          </w:tcPr>
          <w:p>
            <w:pPr>
              <w:spacing w:before="30" w:after="30"/>
            </w:pPr>
            <w:r>
              <w:rPr>
                <w:sz w:val="18"/>
                <w:szCs w:val="18"/>
              </w:rPr>
              <w:t xml:space="preserve">Caissiere</w:t>
            </w:r>
          </w:p>
        </w:tc>
        <w:tc>
          <w:tcPr>
            <w:tcW w:w="6600" w:type="dxa"/>
            <w:shd w:val="clear" w:fill="FFFFFF"/>
            <w:vAlign w:val="center"/>
          </w:tcPr>
          <w:p>
            <w:pPr>
              <w:spacing w:before="30" w:after="30"/>
            </w:pPr>
            <w:r>
              <w:rPr>
                <w:sz w:val="18"/>
                <w:szCs w:val="18"/>
              </w:rPr>
              <w:t xml:space="preserve">Paiements et dashboard associe</w:t>
            </w:r>
          </w:p>
        </w:tc>
      </w:tr>
      <w:tr>
        <w:tc>
          <w:tcPr>
            <w:tcW w:w="2800" w:type="dxa"/>
            <w:shd w:val="clear" w:fill="FFFFFF"/>
            <w:vAlign w:val="center"/>
          </w:tcPr>
          <w:p>
            <w:pPr>
              <w:spacing w:before="30" w:after="30"/>
            </w:pPr>
            <w:r>
              <w:rPr>
                <w:sz w:val="18"/>
                <w:szCs w:val="18"/>
              </w:rPr>
              <w:t xml:space="preserve">Comptable</w:t>
            </w:r>
          </w:p>
        </w:tc>
        <w:tc>
          <w:tcPr>
            <w:tcW w:w="6600" w:type="dxa"/>
            <w:shd w:val="clear" w:fill="FFFFFF"/>
            <w:vAlign w:val="center"/>
          </w:tcPr>
          <w:p>
            <w:pPr>
              <w:spacing w:before="30" w:after="30"/>
            </w:pPr>
            <w:r>
              <w:rPr>
                <w:sz w:val="18"/>
                <w:szCs w:val="18"/>
              </w:rPr>
              <w:t xml:space="preserve">Flux comptables et facturation</w:t>
            </w:r>
          </w:p>
        </w:tc>
      </w:tr>
      <w:tr>
        <w:tc>
          <w:tcPr>
            <w:tcW w:w="2800" w:type="dxa"/>
            <w:shd w:val="clear" w:fill="FFFFFF"/>
            <w:vAlign w:val="center"/>
          </w:tcPr>
          <w:p>
            <w:pPr>
              <w:spacing w:before="30" w:after="30"/>
            </w:pPr>
            <w:r>
              <w:rPr>
                <w:sz w:val="18"/>
                <w:szCs w:val="18"/>
              </w:rPr>
              <w:t xml:space="preserve">Transitaire</w:t>
            </w:r>
          </w:p>
        </w:tc>
        <w:tc>
          <w:tcPr>
            <w:tcW w:w="6600" w:type="dxa"/>
            <w:shd w:val="clear" w:fill="FFFFFF"/>
            <w:vAlign w:val="center"/>
          </w:tcPr>
          <w:p>
            <w:pPr>
              <w:spacing w:before="30" w:after="30"/>
            </w:pPr>
            <w:r>
              <w:rPr>
                <w:sz w:val="18"/>
                <w:szCs w:val="18"/>
              </w:rPr>
              <w:t xml:space="preserve">Etats declares / liquides des BL</w:t>
            </w:r>
          </w:p>
        </w:tc>
      </w:tr>
      <w:tr>
        <w:tc>
          <w:tcPr>
            <w:tcW w:w="2800" w:type="dxa"/>
            <w:shd w:val="clear" w:fill="FFFFFF"/>
            <w:vAlign w:val="center"/>
          </w:tcPr>
          <w:p>
            <w:pPr>
              <w:spacing w:before="30" w:after="30"/>
            </w:pPr>
            <w:r>
              <w:rPr>
                <w:sz w:val="18"/>
                <w:szCs w:val="18"/>
              </w:rPr>
              <w:t xml:space="preserve">Administrateur</w:t>
            </w:r>
          </w:p>
        </w:tc>
        <w:tc>
          <w:tcPr>
            <w:tcW w:w="6600" w:type="dxa"/>
            <w:shd w:val="clear" w:fill="FFFFFF"/>
            <w:vAlign w:val="center"/>
          </w:tcPr>
          <w:p>
            <w:pPr>
              <w:spacing w:before="30" w:after="30"/>
            </w:pPr>
            <w:r>
              <w:rPr>
                <w:sz w:val="18"/>
                <w:szCs w:val="18"/>
              </w:rPr>
              <w:t xml:space="preserve">Administration fonctionnelle et technique</w:t>
            </w:r>
          </w:p>
        </w:tc>
      </w:tr>
    </w:tbl>
    <w:p>
      <w:pPr>
        <w:pStyle w:val="Heading1"/>
        <w:spacing w:before="60" w:after="20"/>
      </w:pPr>
      <w:r>
        <w:rPr>
          <w:b/>
          <w:sz w:val="26"/>
          <w:szCs w:val="26"/>
          <w:color w:val="123047"/>
        </w:rPr>
        <w:t xml:space="preserve">6. Workflow maintenance</w:t>
      </w:r>
    </w:p>
    <w:p>
      <w:pPr>
        <w:ind w:left="700" w:hanging="240"/>
        <w:spacing w:before="10" w:after="10"/>
      </w:pPr>
      <w:r>
        <w:rPr>
          <w:b/>
          <w:color w:val="2EA287"/>
        </w:rPr>
        <w:t>- </w:t>
      </w:r>
      <w:r>
        <w:t xml:space="preserve">Le maintenancier saisit le diagnostic.</w:t>
      </w:r>
    </w:p>
    <w:p>
      <w:pPr>
        <w:ind w:left="700" w:hanging="240"/>
        <w:spacing w:before="10" w:after="10"/>
      </w:pPr>
      <w:r>
        <w:rPr>
          <w:b/>
          <w:color w:val="2EA287"/>
        </w:rPr>
        <w:t>- </w:t>
      </w:r>
      <w:r>
        <w:t xml:space="preserve">Le logisticien saisit et ajuste les prix.</w:t>
      </w:r>
    </w:p>
    <w:p>
      <w:pPr>
        <w:ind w:left="700" w:hanging="240"/>
        <w:spacing w:before="10" w:after="10"/>
      </w:pPr>
      <w:r>
        <w:rPr>
          <w:b/>
          <w:color w:val="2EA287"/>
        </w:rPr>
        <w:t>- </w:t>
      </w:r>
      <w:r>
        <w:t xml:space="preserve">Le DGA valide ou rejette le dossier apres valorisation.</w:t>
      </w:r>
    </w:p>
    <w:p>
      <w:pPr>
        <w:ind w:left="700" w:hanging="240"/>
        <w:spacing w:before="10" w:after="10"/>
      </w:pPr>
      <w:r>
        <w:rPr>
          <w:b/>
          <w:color w:val="2EA287"/>
        </w:rPr>
        <w:t>- </w:t>
      </w:r>
      <w:r>
        <w:t xml:space="preserve">Le DG valide ou rejette apres le DGA.</w:t>
      </w:r>
    </w:p>
    <w:p>
      <w:pPr>
        <w:ind w:left="700" w:hanging="240"/>
        <w:spacing w:before="10" w:after="10"/>
      </w:pPr>
      <w:r>
        <w:rPr>
          <w:b/>
          <w:color w:val="2EA287"/>
        </w:rPr>
        <w:t>- </w:t>
      </w:r>
      <w:r>
        <w:t xml:space="preserve">La caissiere traite les situations en attente de paiement.</w:t>
      </w:r>
    </w:p>
    <w:p>
      <w:pPr>
        <w:ind w:left="700" w:hanging="240"/>
        <w:spacing w:before="10" w:after="10"/>
      </w:pPr>
      <w:r>
        <w:rPr>
          <w:b/>
          <w:color w:val="2EA287"/>
        </w:rPr>
        <w:t>- </w:t>
      </w:r>
      <w:r>
        <w:t xml:space="preserve">Les historiques conservent les actions et les decisions par etape.</w:t>
      </w:r>
    </w:p>
    <w:p>
      <w:pPr>
        <w:pStyle w:val="Heading1"/>
        <w:spacing w:before="60" w:after="20"/>
      </w:pPr>
      <w:r>
        <w:rPr>
          <w:b/>
          <w:sz w:val="26"/>
          <w:szCs w:val="26"/>
          <w:color w:val="123047"/>
        </w:rPr>
        <w:t xml:space="preserve">7. Base de donnees - Synthese</w:t>
      </w:r>
    </w:p>
    <w:tbl>
      <w:tblPr>
        <w:tblStyle w:val="TableGrid"/>
        <w:tblW w:w="0" w:type="auto"/>
        <w:tblBorders>
          <w:top w:val="single" w:sz="8" w:color="D9E2E8"/>
          <w:left w:val="single" w:sz="8" w:color="D9E2E8"/>
          <w:bottom w:val="single" w:sz="8" w:color="D9E2E8"/>
          <w:right w:val="single" w:sz="8" w:color="D9E2E8"/>
          <w:insideH w:val="single" w:sz="6" w:color="D9E2E8"/>
          <w:insideV w:val="single" w:sz="6" w:color="D9E2E8"/>
        </w:tblBorders>
      </w:tblPr>
      <w:tblGrid>
        <w:gridCol w:w="4200"/>
        <w:gridCol w:w="3600"/>
      </w:tblGrid>
      <w:tr>
        <w:tc>
          <w:tcPr>
            <w:tcW w:w="4200" w:type="dxa"/>
            <w:shd w:val="clear" w:fill="EAF4FB"/>
            <w:vAlign w:val="center"/>
          </w:tcPr>
          <w:p>
            <w:pPr>
              <w:spacing w:before="30" w:after="30"/>
            </w:pPr>
            <w:r>
              <w:rPr>
                <w:b/>
                <w:sz w:val="18"/>
                <w:szCs w:val="18"/>
              </w:rPr>
              <w:t xml:space="preserve">Indicateur</w:t>
            </w:r>
          </w:p>
        </w:tc>
        <w:tc>
          <w:tcPr>
            <w:tcW w:w="3600" w:type="dxa"/>
            <w:shd w:val="clear" w:fill="EAF4FB"/>
            <w:vAlign w:val="center"/>
          </w:tcPr>
          <w:p>
            <w:pPr>
              <w:spacing w:before="30" w:after="30"/>
            </w:pPr>
            <w:r>
              <w:rPr>
                <w:b/>
                <w:sz w:val="18"/>
                <w:szCs w:val="18"/>
              </w:rPr>
              <w:t xml:space="preserve">Valeur</w:t>
            </w:r>
          </w:p>
        </w:tc>
      </w:tr>
      <w:tr>
        <w:tc>
          <w:tcPr>
            <w:tcW w:w="4200" w:type="dxa"/>
            <w:shd w:val="clear" w:fill="FFFFFF"/>
            <w:vAlign w:val="center"/>
          </w:tcPr>
          <w:p>
            <w:pPr>
              <w:spacing w:before="30" w:after="30"/>
            </w:pPr>
            <w:r>
              <w:rPr>
                <w:sz w:val="18"/>
                <w:szCs w:val="18"/>
              </w:rPr>
              <w:t xml:space="preserve">Entites MCD</w:t>
            </w:r>
          </w:p>
        </w:tc>
        <w:tc>
          <w:tcPr>
            <w:tcW w:w="3600" w:type="dxa"/>
            <w:shd w:val="clear" w:fill="FFFFFF"/>
            <w:vAlign w:val="center"/>
          </w:tcPr>
          <w:p>
            <w:pPr>
              <w:spacing w:before="30" w:after="30"/>
            </w:pPr>
            <w:r>
              <w:rPr>
                <w:sz w:val="18"/>
                <w:szCs w:val="18"/>
              </w:rPr>
              <w:t xml:space="preserve">24</w:t>
            </w:r>
          </w:p>
        </w:tc>
      </w:tr>
      <w:tr>
        <w:tc>
          <w:tcPr>
            <w:tcW w:w="4200" w:type="dxa"/>
            <w:shd w:val="clear" w:fill="FFFFFF"/>
            <w:vAlign w:val="center"/>
          </w:tcPr>
          <w:p>
            <w:pPr>
              <w:spacing w:before="30" w:after="30"/>
            </w:pPr>
            <w:r>
              <w:rPr>
                <w:sz w:val="18"/>
                <w:szCs w:val="18"/>
              </w:rPr>
              <w:t xml:space="preserve">Tables MLD</w:t>
            </w:r>
          </w:p>
        </w:tc>
        <w:tc>
          <w:tcPr>
            <w:tcW w:w="3600" w:type="dxa"/>
            <w:shd w:val="clear" w:fill="FFFFFF"/>
            <w:vAlign w:val="center"/>
          </w:tcPr>
          <w:p>
            <w:pPr>
              <w:spacing w:before="30" w:after="30"/>
            </w:pPr>
            <w:r>
              <w:rPr>
                <w:sz w:val="18"/>
                <w:szCs w:val="18"/>
              </w:rPr>
              <w:t xml:space="preserve">24</w:t>
            </w:r>
          </w:p>
        </w:tc>
      </w:tr>
      <w:tr>
        <w:tc>
          <w:tcPr>
            <w:tcW w:w="4200" w:type="dxa"/>
            <w:shd w:val="clear" w:fill="FFFFFF"/>
            <w:vAlign w:val="center"/>
          </w:tcPr>
          <w:p>
            <w:pPr>
              <w:spacing w:before="30" w:after="30"/>
            </w:pPr>
            <w:r>
              <w:rPr>
                <w:sz w:val="18"/>
                <w:szCs w:val="18"/>
              </w:rPr>
              <w:t xml:space="preserve">Relations de donnees</w:t>
            </w:r>
          </w:p>
        </w:tc>
        <w:tc>
          <w:tcPr>
            <w:tcW w:w="3600" w:type="dxa"/>
            <w:shd w:val="clear" w:fill="FFFFFF"/>
            <w:vAlign w:val="center"/>
          </w:tcPr>
          <w:p>
            <w:pPr>
              <w:spacing w:before="30" w:after="30"/>
            </w:pPr>
            <w:r>
              <w:rPr>
                <w:sz w:val="18"/>
                <w:szCs w:val="18"/>
              </w:rPr>
              <w:t xml:space="preserve">42</w:t>
            </w:r>
          </w:p>
        </w:tc>
      </w:tr>
      <w:tr>
        <w:tc>
          <w:tcPr>
            <w:tcW w:w="4200" w:type="dxa"/>
            <w:shd w:val="clear" w:fill="FFFFFF"/>
            <w:vAlign w:val="center"/>
          </w:tcPr>
          <w:p>
            <w:pPr>
              <w:spacing w:before="30" w:after="30"/>
            </w:pPr>
            <w:r>
              <w:rPr>
                <w:sz w:val="18"/>
                <w:szCs w:val="18"/>
              </w:rPr>
              <w:t xml:space="preserve">Champs metiers</w:t>
            </w:r>
          </w:p>
        </w:tc>
        <w:tc>
          <w:tcPr>
            <w:tcW w:w="3600" w:type="dxa"/>
            <w:shd w:val="clear" w:fill="FFFFFF"/>
            <w:vAlign w:val="center"/>
          </w:tcPr>
          <w:p>
            <w:pPr>
              <w:spacing w:before="30" w:after="30"/>
            </w:pPr>
            <w:r>
              <w:rPr>
                <w:sz w:val="18"/>
                <w:szCs w:val="18"/>
              </w:rPr>
              <w:t xml:space="preserve">161</w:t>
            </w:r>
          </w:p>
        </w:tc>
      </w:tr>
      <w:tr>
        <w:tc>
          <w:tcPr>
            <w:tcW w:w="4200" w:type="dxa"/>
            <w:shd w:val="clear" w:fill="FFFFFF"/>
            <w:vAlign w:val="center"/>
          </w:tcPr>
          <w:p>
            <w:pPr>
              <w:spacing w:before="30" w:after="30"/>
            </w:pPr>
            <w:r>
              <w:rPr>
                <w:sz w:val="18"/>
                <w:szCs w:val="18"/>
              </w:rPr>
              <w:t xml:space="preserve">Routes applicatives</w:t>
            </w:r>
          </w:p>
        </w:tc>
        <w:tc>
          <w:tcPr>
            <w:tcW w:w="3600" w:type="dxa"/>
            <w:shd w:val="clear" w:fill="FFFFFF"/>
            <w:vAlign w:val="center"/>
          </w:tcPr>
          <w:p>
            <w:pPr>
              <w:spacing w:before="30" w:after="30"/>
            </w:pPr>
            <w:r>
              <w:rPr>
                <w:sz w:val="18"/>
                <w:szCs w:val="18"/>
              </w:rPr>
              <w:t xml:space="preserve">132</w:t>
            </w:r>
          </w:p>
        </w:tc>
      </w:tr>
      <w:tr>
        <w:tc>
          <w:tcPr>
            <w:tcW w:w="4200" w:type="dxa"/>
            <w:shd w:val="clear" w:fill="FFFFFF"/>
            <w:vAlign w:val="center"/>
          </w:tcPr>
          <w:p>
            <w:pPr>
              <w:spacing w:before="30" w:after="30"/>
            </w:pPr>
            <w:r>
              <w:rPr>
                <w:sz w:val="18"/>
                <w:szCs w:val="18"/>
              </w:rPr>
              <w:t xml:space="preserve">Fonctions serveur</w:t>
            </w:r>
          </w:p>
        </w:tc>
        <w:tc>
          <w:tcPr>
            <w:tcW w:w="3600" w:type="dxa"/>
            <w:shd w:val="clear" w:fill="FFFFFF"/>
            <w:vAlign w:val="center"/>
          </w:tcPr>
          <w:p>
            <w:pPr>
              <w:spacing w:before="30" w:after="30"/>
            </w:pPr>
            <w:r>
              <w:rPr>
                <w:sz w:val="18"/>
                <w:szCs w:val="18"/>
              </w:rPr>
              <w:t xml:space="preserve">157</w:t>
            </w:r>
          </w:p>
        </w:tc>
      </w:tr>
      <w:tr>
        <w:tc>
          <w:tcPr>
            <w:tcW w:w="4200" w:type="dxa"/>
            <w:shd w:val="clear" w:fill="FFFFFF"/>
            <w:vAlign w:val="center"/>
          </w:tcPr>
          <w:p>
            <w:pPr>
              <w:spacing w:before="30" w:after="30"/>
            </w:pPr>
            <w:r>
              <w:rPr>
                <w:sz w:val="18"/>
                <w:szCs w:val="18"/>
              </w:rPr>
              <w:t xml:space="preserve">Ecrans / templates</w:t>
            </w:r>
          </w:p>
        </w:tc>
        <w:tc>
          <w:tcPr>
            <w:tcW w:w="3600" w:type="dxa"/>
            <w:shd w:val="clear" w:fill="FFFFFF"/>
            <w:vAlign w:val="center"/>
          </w:tcPr>
          <w:p>
            <w:pPr>
              <w:spacing w:before="30" w:after="30"/>
            </w:pPr>
            <w:r>
              <w:rPr>
                <w:sz w:val="18"/>
                <w:szCs w:val="18"/>
              </w:rPr>
              <w:t xml:space="preserve">72</w:t>
            </w:r>
          </w:p>
        </w:tc>
      </w:tr>
      <w:tr>
        <w:tc>
          <w:tcPr>
            <w:tcW w:w="4200" w:type="dxa"/>
            <w:shd w:val="clear" w:fill="FFFFFF"/>
            <w:vAlign w:val="center"/>
          </w:tcPr>
          <w:p>
            <w:pPr>
              <w:spacing w:before="30" w:after="30"/>
            </w:pPr>
            <w:r>
              <w:rPr>
                <w:sz w:val="18"/>
                <w:szCs w:val="18"/>
              </w:rPr>
              <w:t xml:space="preserve">Exports / impressions</w:t>
            </w:r>
          </w:p>
        </w:tc>
        <w:tc>
          <w:tcPr>
            <w:tcW w:w="3600" w:type="dxa"/>
            <w:shd w:val="clear" w:fill="FFFFFF"/>
            <w:vAlign w:val="center"/>
          </w:tcPr>
          <w:p>
            <w:pPr>
              <w:spacing w:before="30" w:after="30"/>
            </w:pPr>
            <w:r>
              <w:rPr>
                <w:sz w:val="18"/>
                <w:szCs w:val="18"/>
              </w:rPr>
              <w:t xml:space="preserve">Plusieurs flux PDF / Excel</w:t>
            </w:r>
          </w:p>
        </w:tc>
      </w:tr>
    </w:tbl>
    <w:p>
      <w:pPr>
        <w:pStyle w:val="Heading1"/>
        <w:spacing w:before="60" w:after="20"/>
      </w:pPr>
      <w:r>
        <w:rPr>
          <w:b/>
          <w:sz w:val="26"/>
          <w:szCs w:val="26"/>
          <w:color w:val="123047"/>
        </w:rPr>
        <w:t xml:space="preserve">8. Cartographie MCD / MLD</w:t>
      </w:r>
    </w:p>
    <w:p>
      <w:pPr>
        <w:spacing w:before="40" w:after="40"/>
      </w:pPr>
      <w:r>
        <w:rPr>
          <w:sz w:val="18"/>
          <w:szCs w:val="18"/>
        </w:rPr>
        <w:t xml:space="preserve">Les schemas MCD et MLD generes se trouvent dans le dossier facturation_docs et peuvent etre annexes a la documentation : mcd_application.svg et mld_application.svg.</w:t>
      </w:r>
    </w:p>
    <w:p>
      <w:pPr>
        <w:pStyle w:val="Heading1"/>
        <w:spacing w:before="60" w:after="20"/>
      </w:pPr>
      <w:r>
        <w:rPr>
          <w:b/>
          <w:sz w:val="26"/>
          <w:szCs w:val="26"/>
          <w:color w:val="123047"/>
        </w:rPr>
        <w:t xml:space="preserve">9. Fonctionnalites techniques complementaires</w:t>
      </w:r>
    </w:p>
    <w:p>
      <w:pPr>
        <w:ind w:left="700" w:hanging="240"/>
        <w:spacing w:before="10" w:after="10"/>
      </w:pPr>
      <w:r>
        <w:rPr>
          <w:b/>
          <w:color w:val="2EA287"/>
        </w:rPr>
        <w:t>- </w:t>
      </w:r>
      <w:r>
        <w:t xml:space="preserve">Exports PDF et Excel sur plusieurs modules.</w:t>
      </w:r>
    </w:p>
    <w:p>
      <w:pPr>
        <w:ind w:left="700" w:hanging="240"/>
        <w:spacing w:before="10" w:after="10"/>
      </w:pPr>
      <w:r>
        <w:rPr>
          <w:b/>
          <w:color w:val="2EA287"/>
        </w:rPr>
        <w:t>- </w:t>
      </w:r>
      <w:r>
        <w:t xml:space="preserve">Impression de bons de livraison, factures et fiches de maintenance.</w:t>
      </w:r>
    </w:p>
    <w:p>
      <w:pPr>
        <w:ind w:left="700" w:hanging="240"/>
        <w:spacing w:before="10" w:after="10"/>
      </w:pPr>
      <w:r>
        <w:rPr>
          <w:b/>
          <w:color w:val="2EA287"/>
        </w:rPr>
        <w:t>- </w:t>
      </w:r>
      <w:r>
        <w:t xml:space="preserve">Journalisation des actions utilisateurs.</w:t>
      </w:r>
    </w:p>
    <w:p>
      <w:pPr>
        <w:ind w:left="700" w:hanging="240"/>
        <w:spacing w:before="10" w:after="10"/>
      </w:pPr>
      <w:r>
        <w:rPr>
          <w:b/>
          <w:color w:val="2EA287"/>
        </w:rPr>
        <w:t>- </w:t>
      </w:r>
      <w:r>
        <w:t xml:space="preserve">Recherche dynamique, formulaires enrichis et modales d'ajout rapide.</w:t>
      </w:r>
    </w:p>
    <w:p>
      <w:pPr>
        <w:ind w:left="700" w:hanging="240"/>
        <w:spacing w:before="10" w:after="10"/>
      </w:pPr>
      <w:r>
        <w:rPr>
          <w:b/>
          <w:color w:val="2EA287"/>
        </w:rPr>
        <w:t>- </w:t>
      </w:r>
      <w:r>
        <w:t xml:space="preserve">Dashboard personnalise selon le role connecte.</w:t>
      </w:r>
    </w:p>
    <w:p>
      <w:pPr>
        <w:pStyle w:val="Heading1"/>
        <w:pageBreakBefore/>
        <w:spacing w:before="60" w:after="20"/>
      </w:pPr>
      <w:r>
        <w:rPr>
          <w:b/>
          <w:sz w:val="26"/>
          <w:szCs w:val="26"/>
          <w:color w:val="123047"/>
        </w:rPr>
        <w:t xml:space="preserve">10. Deploiement et exploitation</w:t>
      </w:r>
    </w:p>
    <w:p>
      <w:pPr>
        <w:spacing w:before="40" w:after="40"/>
      </w:pPr>
      <w:r>
        <w:rPr>
          <w:sz w:val="18"/>
          <w:szCs w:val="18"/>
        </w:rPr>
        <w:t xml:space="preserve">La solution est exploitable en local pour le developpement et en ligne via Railway pour la production. La publication en production repose sur GitHub, des migrations Django et une base PostgreSQL dediee. L'application reste evolutive et peut recevoir des mises a jour fonctionnelles sans remise a plat de l'architecture.</w:t>
      </w:r>
    </w:p>
    <w:p>
      <w:pPr>
        <w:pStyle w:val="Heading1"/>
        <w:spacing w:before="60" w:after="20"/>
      </w:pPr>
      <w:r>
        <w:rPr>
          <w:b/>
          <w:sz w:val="26"/>
          <w:szCs w:val="26"/>
          <w:color w:val="123047"/>
        </w:rPr>
        <w:t xml:space="preserve">11. Conclusion</w:t>
      </w:r>
    </w:p>
    <w:p>
      <w:pPr>
        <w:spacing w:before="40" w:after="40"/>
      </w:pPr>
      <w:r>
        <w:rPr>
          <w:sz w:val="18"/>
          <w:szCs w:val="18"/>
        </w:rPr>
        <w:t xml:space="preserve">Cette application constitue une solution metier complete et structurable, concue pour professionnaliser le pilotage des activites de transport, maintenance et logistique. Sa conception modulaire, ses workflows de validation, sa base de donnees relationnelle et ses outils de reporting justifient un niveau de prestation avance et evolutif.</w:t>
      </w:r>
    </w:p>
    <w:sectPr>
      <w:pgSz w:w="11906" w:h="16838"/>
      <w:pgMar w:top="900" w:right="850" w:bottom="900" w:left="850" w:header="720" w:footer="720" w:gutter="0"/>
    </w:sectPr>
  </w:body>
</w:document>
</file>

<file path=word/styles.xml><?xml version="1.0" encoding="utf-8"?>
<w:styles xmlns:w="http://schemas.openxmlformats.org/wordprocessingml/2006/main">
  <w:style w:type="paragraph" w:default="1" w:styleId="Normal">
    <w:name w:val="Normal"/>
    <w:qFormat/>
    <w:rPr>
      <w:rFonts w:ascii="Arial" w:hAnsi="Arial"/>
      <w:sz w:val="18"/>
      <w:szCs w:val="18"/>
      <w:color w:val="17324D"/>
    </w:rPr>
  </w:style>
  <w:style w:type="paragraph" w:styleId="Title">
    <w:name w:val="Title"/>
    <w:basedOn w:val="Normal"/>
    <w:qFormat/>
    <w:pPr>
      <w:jc w:val="center"/>
    </w:pPr>
    <w:rPr>
      <w:rFonts w:ascii="Arial" w:hAnsi="Arial"/>
      <w:b/>
      <w:sz w:val="34"/>
      <w:szCs w:val="34"/>
      <w:color w:val="123047"/>
    </w:rPr>
  </w:style>
  <w:style w:type="paragraph" w:styleId="Heading1">
    <w:name w:val="heading 1"/>
    <w:basedOn w:val="Normal"/>
    <w:next w:val="Normal"/>
    <w:qFormat/>
    <w:rPr>
      <w:rFonts w:ascii="Arial" w:hAnsi="Arial"/>
      <w:b/>
      <w:sz w:val="26"/>
      <w:szCs w:val="26"/>
      <w:color w:val="123047"/>
    </w:rPr>
  </w:style>
</w:style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Application Transport</dc:title>
  <dc:subject>Documentation fonctionnelle et technique</dc:subject>
  <dc:creator>OpenAI Codex</dc:creator>
  <cp:lastModifiedBy>OpenAI Codex</cp:lastModifiedBy>
  <dcterms:created xsi:type="dcterms:W3CDTF">2026-04-27T10:47:33.447540+00:00</dcterms:created>
  <dcterms:modified xsi:type="dcterms:W3CDTF">2026-04-27T10:47:33.447554+00:00</dcterms:modified>
</cp:coreProperties>
</file>