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Dora SARKIS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Adresse : 53 résidence Les Citronnelles Téléphone : 0690596969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Email : leroyalriviera@gmail.com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CV - Parcours Professionnel et Formation Formation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• 2008 Formation en décoration événementielle – Centre ABC • 2008 BTS Commerce international (inachevé) - CNED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• 2006 Baccalauréat professionnel en commerce – CNED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Expérience Professionnelle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• 2008 Gérante fondatrice – Joykiss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Boutique spécialisée dans le mariage et services de wedding planning et design. Compétences : gestion, négociation, relation client, développement de l’offre.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• 2012 - 2018 Directrice – Salle de spectacle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Responsable du management, de l’organisation d’événements et de la gestion administrative.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• depuis 2019 Gérante – Boutique à Pointe-à-Pitre &amp; gestion de locaux commerciaux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Compétences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• Gestion d’entreprise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• Négociation commerciale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• Relation client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• Organisation d’événements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• Management et gestion administrative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• Autonomie, rigueur, sens de l’organisation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• Intérêt marqué pour le droit commercial, droit des affaires et droit immobilier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