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480" w:line="240" w:lineRule="auto"/>
        <w:jc w:val="center"/>
      </w:pPr>
      <w:r>
        <w:rPr>
          <w:rFonts w:ascii="Times New Roman" w:hAnsi="Times New Roman"/>
          <w:b w:val="0"/>
          <w:i/>
          <w:sz w:val="24"/>
        </w:rPr>
        <w:t>[AHMADU BELLO UNIVERSITY LOGO — INSERT HERE]</w:t>
      </w:r>
    </w:p>
    <w:p>
      <w:pPr>
        <w:spacing w:before="0" w:after="360" w:line="240" w:lineRule="auto"/>
        <w:jc w:val="center"/>
      </w:pPr>
      <w:r>
        <w:rPr>
          <w:rFonts w:ascii="Times New Roman" w:hAnsi="Times New Roman"/>
          <w:b/>
          <w:i w:val="0"/>
          <w:sz w:val="24"/>
        </w:rPr>
        <w:t>PREVALENCE OF MULTIDRUG-RESISTANT ESCHERICHIA COLI BEARING CLASS I AND CLASS II INTEGRONS IN POULTRY MANURE FROM VENDORS IN ZARIA METROPOLIS</w:t>
      </w:r>
    </w:p>
    <w:p>
      <w:pPr>
        <w:spacing w:before="0" w:after="360" w:line="240" w:lineRule="auto"/>
        <w:jc w:val="center"/>
      </w:pPr>
      <w:r>
        <w:rPr>
          <w:rFonts w:ascii="Times New Roman" w:hAnsi="Times New Roman"/>
          <w:b/>
          <w:i w:val="0"/>
          <w:sz w:val="24"/>
        </w:rPr>
        <w:t>BY</w:t>
      </w:r>
    </w:p>
    <w:p>
      <w:pPr>
        <w:spacing w:before="0" w:after="480" w:line="240" w:lineRule="auto"/>
        <w:jc w:val="center"/>
      </w:pPr>
      <w:r>
        <w:rPr>
          <w:rFonts w:ascii="Times New Roman" w:hAnsi="Times New Roman"/>
          <w:b/>
          <w:i w:val="0"/>
          <w:sz w:val="24"/>
        </w:rPr>
        <w:t>Balarabe, Amina Abdullahi</w:t>
      </w:r>
    </w:p>
    <w:p>
      <w:pPr>
        <w:spacing w:before="0" w:after="40" w:line="240" w:lineRule="auto"/>
        <w:jc w:val="center"/>
      </w:pPr>
      <w:r>
        <w:rPr>
          <w:rFonts w:ascii="Times New Roman" w:hAnsi="Times New Roman"/>
          <w:b/>
          <w:i w:val="0"/>
          <w:sz w:val="24"/>
        </w:rPr>
        <w:t>DEPARTMENT OF VETERINARY PUBLIC HEALTH AND PREVENTIVE MEDICINE</w:t>
      </w:r>
    </w:p>
    <w:p>
      <w:pPr>
        <w:spacing w:before="0" w:after="40" w:line="240" w:lineRule="auto"/>
        <w:jc w:val="center"/>
      </w:pPr>
      <w:r>
        <w:rPr>
          <w:rFonts w:ascii="Times New Roman" w:hAnsi="Times New Roman"/>
          <w:b/>
          <w:i w:val="0"/>
          <w:sz w:val="24"/>
        </w:rPr>
        <w:t>FACULTY OF VETERINARY MEDICINE</w:t>
      </w:r>
    </w:p>
    <w:p>
      <w:pPr>
        <w:spacing w:before="0" w:after="40" w:line="240" w:lineRule="auto"/>
        <w:jc w:val="center"/>
      </w:pPr>
      <w:r>
        <w:rPr>
          <w:rFonts w:ascii="Times New Roman" w:hAnsi="Times New Roman"/>
          <w:b/>
          <w:i w:val="0"/>
          <w:sz w:val="24"/>
        </w:rPr>
        <w:t>AHMADU BELLO UNIVERSITY, ZARIA</w:t>
      </w:r>
    </w:p>
    <w:p>
      <w:pPr>
        <w:spacing w:before="0" w:after="480" w:line="240" w:lineRule="auto"/>
        <w:jc w:val="both"/>
      </w:pPr>
    </w:p>
    <w:p>
      <w:pPr>
        <w:spacing w:before="0" w:after="0" w:line="240" w:lineRule="auto"/>
        <w:jc w:val="center"/>
      </w:pPr>
      <w:r>
        <w:rPr>
          <w:rFonts w:ascii="Times New Roman" w:hAnsi="Times New Roman"/>
          <w:b/>
          <w:i w:val="0"/>
          <w:sz w:val="24"/>
        </w:rPr>
        <w:t>[MONTH, YEAR OF CORRECTION CERTIFICATION]</w:t>
      </w:r>
    </w:p>
    <w:p>
      <w:r>
        <w:br w:type="page"/>
      </w:r>
    </w:p>
    <w:p>
      <w:pPr>
        <w:spacing w:before="0" w:after="120" w:line="240" w:lineRule="auto"/>
        <w:jc w:val="center"/>
      </w:pPr>
      <w:r>
        <w:rPr>
          <w:rFonts w:ascii="Times New Roman" w:hAnsi="Times New Roman"/>
          <w:b w:val="0"/>
          <w:i/>
          <w:sz w:val="24"/>
        </w:rPr>
        <w:t>[Intentionally blank — fly leaf]</w:t>
      </w:r>
    </w:p>
    <w:p>
      <w:pPr>
        <w:sectPr>
          <w:pgSz w:w="12240" w:h="15840"/>
          <w:pgMar w:top="1440" w:right="1440" w:bottom="1440" w:left="2160" w:header="720" w:footer="720" w:gutter="0"/>
          <w:cols w:space="720"/>
          <w:docGrid w:linePitch="360"/>
        </w:sectPr>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360" w:line="240" w:lineRule="auto"/>
        <w:jc w:val="center"/>
      </w:pPr>
      <w:r>
        <w:rPr>
          <w:rFonts w:ascii="Times New Roman" w:hAnsi="Times New Roman"/>
          <w:b/>
          <w:i w:val="0"/>
          <w:sz w:val="24"/>
        </w:rPr>
        <w:t>PREVALENCE OF MULTIDRUG-RESISTANT ESCHERICHIA COLI BEARING CLASS I AND CLASS II INTEGRONS IN POULTRY MANURE FROM VENDORS IN ZARIA METROPOLIS</w:t>
      </w:r>
    </w:p>
    <w:p>
      <w:pPr>
        <w:spacing w:before="0" w:after="240" w:line="240" w:lineRule="auto"/>
        <w:jc w:val="center"/>
      </w:pPr>
      <w:r>
        <w:rPr>
          <w:rFonts w:ascii="Times New Roman" w:hAnsi="Times New Roman"/>
          <w:b/>
          <w:i w:val="0"/>
          <w:sz w:val="24"/>
        </w:rPr>
        <w:t>BY</w:t>
      </w:r>
    </w:p>
    <w:p>
      <w:pPr>
        <w:spacing w:before="0" w:after="40" w:line="240" w:lineRule="auto"/>
        <w:jc w:val="center"/>
      </w:pPr>
      <w:r>
        <w:rPr>
          <w:rFonts w:ascii="Times New Roman" w:hAnsi="Times New Roman"/>
          <w:b/>
          <w:i w:val="0"/>
          <w:sz w:val="24"/>
        </w:rPr>
        <w:t>Balarabe, Amina Abdullahi</w:t>
      </w:r>
    </w:p>
    <w:p>
      <w:pPr>
        <w:spacing w:before="0" w:after="40" w:line="240" w:lineRule="auto"/>
        <w:jc w:val="center"/>
      </w:pPr>
      <w:r>
        <w:rPr>
          <w:rFonts w:ascii="Times New Roman" w:hAnsi="Times New Roman"/>
          <w:b/>
          <w:i w:val="0"/>
          <w:sz w:val="24"/>
        </w:rPr>
        <w:t>(B.Sc. Microbiology (ABU Zaria, [Year of First Degree]))</w:t>
      </w:r>
    </w:p>
    <w:p>
      <w:pPr>
        <w:spacing w:before="0" w:after="360" w:line="240" w:lineRule="auto"/>
        <w:jc w:val="center"/>
      </w:pPr>
      <w:r>
        <w:rPr>
          <w:rFonts w:ascii="Times New Roman" w:hAnsi="Times New Roman"/>
          <w:b/>
          <w:i w:val="0"/>
          <w:sz w:val="24"/>
        </w:rPr>
        <w:t>P24VTVH8002</w:t>
      </w:r>
    </w:p>
    <w:p>
      <w:pPr>
        <w:spacing w:before="0" w:after="360" w:line="240" w:lineRule="auto"/>
        <w:jc w:val="center"/>
      </w:pPr>
      <w:r>
        <w:rPr>
          <w:rFonts w:ascii="Times New Roman" w:hAnsi="Times New Roman"/>
          <w:b/>
          <w:i w:val="0"/>
          <w:sz w:val="24"/>
        </w:rPr>
        <w:t>A DISSERTATION SUBMITTED TO THE POSTGRADUATE COLLEGE, AHMADU BELLO UNIVERSITY IN PARTIAL FULFILMENT OF THE REQUIREMENTS FOR THE AWARD OF MASTER OF SCIENCE (MSc) IN VETERINARY PUBLIC HEALTH</w:t>
      </w:r>
    </w:p>
    <w:p>
      <w:pPr>
        <w:spacing w:before="0" w:after="40" w:line="240" w:lineRule="auto"/>
        <w:jc w:val="center"/>
      </w:pPr>
      <w:r>
        <w:rPr>
          <w:rFonts w:ascii="Times New Roman" w:hAnsi="Times New Roman"/>
          <w:b/>
          <w:i w:val="0"/>
          <w:sz w:val="24"/>
        </w:rPr>
        <w:t>DEPARTMENT OF VETERINARY PUBLIC HEALTH AND PREVENTIVE MEDICINE,</w:t>
      </w:r>
    </w:p>
    <w:p>
      <w:pPr>
        <w:spacing w:before="0" w:after="40" w:line="240" w:lineRule="auto"/>
        <w:jc w:val="center"/>
      </w:pPr>
      <w:r>
        <w:rPr>
          <w:rFonts w:ascii="Times New Roman" w:hAnsi="Times New Roman"/>
          <w:b/>
          <w:i w:val="0"/>
          <w:sz w:val="24"/>
        </w:rPr>
        <w:t>FACULTY OF VETERINARY MEDICINE,</w:t>
      </w:r>
    </w:p>
    <w:p>
      <w:pPr>
        <w:spacing w:before="0" w:after="40" w:line="240" w:lineRule="auto"/>
        <w:jc w:val="center"/>
      </w:pPr>
      <w:r>
        <w:rPr>
          <w:rFonts w:ascii="Times New Roman" w:hAnsi="Times New Roman"/>
          <w:b/>
          <w:i w:val="0"/>
          <w:sz w:val="24"/>
        </w:rPr>
        <w:t>AHMADU BELLO UNIVERSITY, ZARIA, NIGERIA.</w:t>
      </w:r>
    </w:p>
    <w:p>
      <w:pPr>
        <w:spacing w:before="0" w:after="360" w:line="240" w:lineRule="auto"/>
        <w:jc w:val="both"/>
      </w:pPr>
    </w:p>
    <w:p>
      <w:pPr>
        <w:spacing w:before="0" w:after="0" w:line="240" w:lineRule="auto"/>
        <w:jc w:val="center"/>
      </w:pPr>
      <w:r>
        <w:rPr>
          <w:rFonts w:ascii="Times New Roman" w:hAnsi="Times New Roman"/>
          <w:b/>
          <w:i w:val="0"/>
          <w:sz w:val="24"/>
        </w:rPr>
        <w:t>[MONTH], [YEAR]</w:t>
      </w:r>
    </w:p>
    <w:p>
      <w:r>
        <w:br w:type="page"/>
      </w:r>
    </w:p>
    <w:p>
      <w:pPr>
        <w:pStyle w:val="Heading2"/>
        <w:spacing w:before="240" w:after="120" w:line="240" w:lineRule="auto"/>
        <w:jc w:val="left"/>
      </w:pPr>
      <w:r>
        <w:rPr>
          <w:rFonts w:ascii="Times New Roman" w:hAnsi="Times New Roman"/>
          <w:b/>
          <w:i w:val="0"/>
          <w:color w:val="000000"/>
          <w:sz w:val="24"/>
        </w:rPr>
        <w:t>DECLARATION</w:t>
      </w:r>
    </w:p>
    <w:p>
      <w:pPr>
        <w:spacing w:before="0" w:after="120" w:line="240" w:lineRule="auto"/>
        <w:jc w:val="both"/>
      </w:pPr>
      <w:r>
        <w:rPr>
          <w:rFonts w:ascii="Times New Roman" w:hAnsi="Times New Roman"/>
          <w:b w:val="0"/>
          <w:i w:val="0"/>
          <w:sz w:val="24"/>
        </w:rPr>
        <w:t>I declare that the work in this Dissertation entitled "PREVALENCE OF MULTIDRUG-RESISTANT ESCHERICHIA COLI BEARING CLASS I AND CLASS II INTEGRONS IN POULTRY MANURE FROM VENDORS IN ZARIA METROPOLIS" was carried out by me in the Department of Veterinary Public Health and Preventive Medicine. The information derived from the literature was duly acknowledged in the text and a list of references provided. No part of this Dissertation was previously presented for another degree or diploma at this or any other Institution.</w:t>
      </w:r>
    </w:p>
    <w:p>
      <w:pPr>
        <w:spacing w:before="0" w:after="480" w:line="240" w:lineRule="auto"/>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line="240" w:lineRule="auto"/>
              <w:jc w:val="both"/>
            </w:pPr>
            <w:r>
              <w:rPr>
                <w:rFonts w:ascii="Times New Roman" w:hAnsi="Times New Roman"/>
                <w:sz w:val="24"/>
              </w:rPr>
              <w:t>Balarabe, Amina Abdullahi</w:t>
            </w:r>
          </w:p>
        </w:tc>
        <w:tc>
          <w:tcPr>
            <w:tcW w:type="dxa" w:w="2880"/>
          </w:tcPr>
          <w:p>
            <w:pPr>
              <w:spacing w:before="40" w:after="40" w:line="240" w:lineRule="auto"/>
              <w:jc w:val="both"/>
            </w:pPr>
            <w:r>
              <w:rPr>
                <w:rFonts w:ascii="Times New Roman" w:hAnsi="Times New Roman"/>
                <w:sz w:val="24"/>
              </w:rPr>
              <w:t>___________________</w:t>
            </w:r>
          </w:p>
        </w:tc>
        <w:tc>
          <w:tcPr>
            <w:tcW w:type="dxa" w:w="2880"/>
          </w:tcPr>
          <w:p>
            <w:pPr>
              <w:spacing w:before="40" w:after="40" w:line="240" w:lineRule="auto"/>
              <w:jc w:val="both"/>
            </w:pPr>
            <w:r>
              <w:rPr>
                <w:rFonts w:ascii="Times New Roman" w:hAnsi="Times New Roman"/>
                <w:sz w:val="24"/>
              </w:rPr>
              <w:t>___________________</w:t>
            </w:r>
          </w:p>
        </w:tc>
      </w:tr>
      <w:tr>
        <w:tc>
          <w:tcPr>
            <w:tcW w:type="dxa" w:w="2880"/>
          </w:tcPr>
          <w:p>
            <w:pPr>
              <w:spacing w:before="40" w:after="40" w:line="240" w:lineRule="auto"/>
              <w:jc w:val="both"/>
            </w:pPr>
            <w:r>
              <w:rPr>
                <w:rFonts w:ascii="Times New Roman" w:hAnsi="Times New Roman"/>
                <w:sz w:val="24"/>
              </w:rPr>
              <w:t>Name of Student</w:t>
            </w:r>
          </w:p>
        </w:tc>
        <w:tc>
          <w:tcPr>
            <w:tcW w:type="dxa" w:w="2880"/>
          </w:tcPr>
          <w:p>
            <w:pPr>
              <w:spacing w:before="40" w:after="40" w:line="240" w:lineRule="auto"/>
              <w:jc w:val="both"/>
            </w:pPr>
            <w:r>
              <w:rPr>
                <w:rFonts w:ascii="Times New Roman" w:hAnsi="Times New Roman"/>
                <w:sz w:val="24"/>
              </w:rPr>
              <w:t>Signature</w:t>
            </w:r>
          </w:p>
        </w:tc>
        <w:tc>
          <w:tcPr>
            <w:tcW w:type="dxa" w:w="2880"/>
          </w:tcPr>
          <w:p>
            <w:pPr>
              <w:spacing w:before="40" w:after="40" w:line="240" w:lineRule="auto"/>
              <w:jc w:val="both"/>
            </w:pPr>
            <w:r>
              <w:rPr>
                <w:rFonts w:ascii="Times New Roman" w:hAnsi="Times New Roman"/>
                <w:sz w:val="24"/>
              </w:rPr>
              <w:t>Date</w:t>
            </w:r>
          </w:p>
        </w:tc>
      </w:tr>
    </w:tbl>
    <w:p>
      <w:r>
        <w:br w:type="page"/>
      </w:r>
    </w:p>
    <w:p>
      <w:pPr>
        <w:pStyle w:val="Heading2"/>
        <w:spacing w:before="240" w:after="120" w:line="240" w:lineRule="auto"/>
        <w:jc w:val="left"/>
      </w:pPr>
      <w:r>
        <w:rPr>
          <w:rFonts w:ascii="Times New Roman" w:hAnsi="Times New Roman"/>
          <w:b/>
          <w:i w:val="0"/>
          <w:color w:val="000000"/>
          <w:sz w:val="24"/>
        </w:rPr>
        <w:t>CERTIFICATION</w:t>
      </w:r>
    </w:p>
    <w:p>
      <w:pPr>
        <w:spacing w:before="0" w:after="120" w:line="240" w:lineRule="auto"/>
        <w:jc w:val="both"/>
      </w:pPr>
      <w:r>
        <w:rPr>
          <w:rFonts w:ascii="Times New Roman" w:hAnsi="Times New Roman"/>
          <w:b w:val="0"/>
          <w:i w:val="0"/>
          <w:sz w:val="24"/>
        </w:rPr>
        <w:t>This Dissertation entitled "PREVALENCE OF MULTIDRUG-RESISTANT ESCHERICHIA COLI BEARING CLASS I AND CLASS II INTEGRONS IN POULTRY MANURE FROM VENDORS IN ZARIA METROPOLIS" by Balarabe, Amina Abdullahi meets the regulations governing the award of the degree of MASTER OF SCIENCE (MSc) IN VETERINARY PUBLIC HEALTH of the Ahmadu Bello University, and is approved for its contribution to knowledge and literary presentation.</w:t>
      </w:r>
    </w:p>
    <w:p>
      <w:pPr>
        <w:spacing w:before="0" w:after="240" w:line="240" w:lineRule="auto"/>
        <w:jc w:val="both"/>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line="240" w:lineRule="auto"/>
              <w:jc w:val="both"/>
            </w:pPr>
            <w:r>
              <w:rPr>
                <w:rFonts w:ascii="Times New Roman" w:hAnsi="Times New Roman"/>
                <w:b/>
                <w:sz w:val="22"/>
              </w:rPr>
              <w:t>Role</w:t>
            </w:r>
          </w:p>
        </w:tc>
        <w:tc>
          <w:tcPr>
            <w:tcW w:type="dxa" w:w="2160"/>
          </w:tcPr>
          <w:p>
            <w:pPr>
              <w:spacing w:before="40" w:after="40" w:line="240" w:lineRule="auto"/>
              <w:jc w:val="both"/>
            </w:pPr>
            <w:r>
              <w:rPr>
                <w:rFonts w:ascii="Times New Roman" w:hAnsi="Times New Roman"/>
                <w:b/>
                <w:sz w:val="22"/>
              </w:rPr>
              <w:t>Name</w:t>
            </w:r>
          </w:p>
        </w:tc>
        <w:tc>
          <w:tcPr>
            <w:tcW w:type="dxa" w:w="2160"/>
          </w:tcPr>
          <w:p>
            <w:pPr>
              <w:spacing w:before="40" w:after="40" w:line="240" w:lineRule="auto"/>
              <w:jc w:val="both"/>
            </w:pPr>
            <w:r>
              <w:rPr>
                <w:rFonts w:ascii="Times New Roman" w:hAnsi="Times New Roman"/>
                <w:b/>
                <w:sz w:val="22"/>
              </w:rPr>
              <w:t>Signature</w:t>
            </w:r>
          </w:p>
        </w:tc>
        <w:tc>
          <w:tcPr>
            <w:tcW w:type="dxa" w:w="2160"/>
          </w:tcPr>
          <w:p>
            <w:pPr>
              <w:spacing w:before="40" w:after="40" w:line="240" w:lineRule="auto"/>
              <w:jc w:val="both"/>
            </w:pPr>
            <w:r>
              <w:rPr>
                <w:rFonts w:ascii="Times New Roman" w:hAnsi="Times New Roman"/>
                <w:b/>
                <w:sz w:val="22"/>
              </w:rPr>
              <w:t>Date</w:t>
            </w:r>
          </w:p>
        </w:tc>
      </w:tr>
      <w:tr>
        <w:tc>
          <w:tcPr>
            <w:tcW w:type="dxa" w:w="2160"/>
          </w:tcPr>
          <w:p>
            <w:pPr>
              <w:spacing w:before="40" w:after="40" w:line="240" w:lineRule="auto"/>
              <w:jc w:val="both"/>
            </w:pPr>
            <w:r>
              <w:rPr>
                <w:rFonts w:ascii="Times New Roman" w:hAnsi="Times New Roman"/>
                <w:sz w:val="22"/>
              </w:rPr>
              <w:t>Chairman, Supervisory Committee</w:t>
            </w:r>
          </w:p>
        </w:tc>
        <w:tc>
          <w:tcPr>
            <w:tcW w:type="dxa" w:w="2160"/>
          </w:tcPr>
          <w:p>
            <w:pPr>
              <w:spacing w:before="40" w:after="40" w:line="240" w:lineRule="auto"/>
              <w:jc w:val="both"/>
            </w:pPr>
            <w:r>
              <w:rPr>
                <w:rFonts w:ascii="Times New Roman" w:hAnsi="Times New Roman"/>
                <w:sz w:val="22"/>
              </w:rPr>
              <w:t>Prof. Junaidu Kabir</w:t>
            </w:r>
          </w:p>
        </w:tc>
        <w:tc>
          <w:tcPr>
            <w:tcW w:type="dxa" w:w="2160"/>
          </w:tcPr>
          <w:p>
            <w:pPr>
              <w:spacing w:before="40" w:after="40" w:line="240" w:lineRule="auto"/>
              <w:jc w:val="both"/>
            </w:pPr>
            <w:r>
              <w:rPr>
                <w:rFonts w:ascii="Times New Roman" w:hAnsi="Times New Roman"/>
                <w:sz w:val="22"/>
              </w:rPr>
              <w:t>____________</w:t>
            </w:r>
          </w:p>
        </w:tc>
        <w:tc>
          <w:tcPr>
            <w:tcW w:type="dxa" w:w="2160"/>
          </w:tcPr>
          <w:p>
            <w:pPr>
              <w:spacing w:before="40" w:after="40" w:line="240" w:lineRule="auto"/>
              <w:jc w:val="both"/>
            </w:pPr>
            <w:r>
              <w:rPr>
                <w:rFonts w:ascii="Times New Roman" w:hAnsi="Times New Roman"/>
                <w:sz w:val="22"/>
              </w:rPr>
              <w:t>______</w:t>
            </w:r>
          </w:p>
        </w:tc>
      </w:tr>
      <w:tr>
        <w:tc>
          <w:tcPr>
            <w:tcW w:type="dxa" w:w="2160"/>
          </w:tcPr>
          <w:p>
            <w:pPr>
              <w:spacing w:before="40" w:after="40" w:line="240" w:lineRule="auto"/>
              <w:jc w:val="both"/>
            </w:pPr>
            <w:r>
              <w:rPr>
                <w:rFonts w:ascii="Times New Roman" w:hAnsi="Times New Roman"/>
                <w:sz w:val="22"/>
              </w:rPr>
              <w:t>Member, Supervisory Committee</w:t>
            </w:r>
          </w:p>
        </w:tc>
        <w:tc>
          <w:tcPr>
            <w:tcW w:type="dxa" w:w="2160"/>
          </w:tcPr>
          <w:p>
            <w:pPr>
              <w:spacing w:before="40" w:after="40" w:line="240" w:lineRule="auto"/>
              <w:jc w:val="both"/>
            </w:pPr>
            <w:r>
              <w:rPr>
                <w:rFonts w:ascii="Times New Roman" w:hAnsi="Times New Roman"/>
                <w:sz w:val="22"/>
              </w:rPr>
              <w:t>Dr. U.U. Bashir</w:t>
            </w:r>
          </w:p>
        </w:tc>
        <w:tc>
          <w:tcPr>
            <w:tcW w:type="dxa" w:w="2160"/>
          </w:tcPr>
          <w:p>
            <w:pPr>
              <w:spacing w:before="40" w:after="40" w:line="240" w:lineRule="auto"/>
              <w:jc w:val="both"/>
            </w:pPr>
            <w:r>
              <w:rPr>
                <w:rFonts w:ascii="Times New Roman" w:hAnsi="Times New Roman"/>
                <w:sz w:val="22"/>
              </w:rPr>
              <w:t>____________</w:t>
            </w:r>
          </w:p>
        </w:tc>
        <w:tc>
          <w:tcPr>
            <w:tcW w:type="dxa" w:w="2160"/>
          </w:tcPr>
          <w:p>
            <w:pPr>
              <w:spacing w:before="40" w:after="40" w:line="240" w:lineRule="auto"/>
              <w:jc w:val="both"/>
            </w:pPr>
            <w:r>
              <w:rPr>
                <w:rFonts w:ascii="Times New Roman" w:hAnsi="Times New Roman"/>
                <w:sz w:val="22"/>
              </w:rPr>
              <w:t>______</w:t>
            </w:r>
          </w:p>
        </w:tc>
      </w:tr>
      <w:tr>
        <w:tc>
          <w:tcPr>
            <w:tcW w:type="dxa" w:w="2160"/>
          </w:tcPr>
          <w:p>
            <w:pPr>
              <w:spacing w:before="40" w:after="40" w:line="240" w:lineRule="auto"/>
              <w:jc w:val="both"/>
            </w:pPr>
            <w:r>
              <w:rPr>
                <w:rFonts w:ascii="Times New Roman" w:hAnsi="Times New Roman"/>
                <w:sz w:val="22"/>
              </w:rPr>
              <w:t>Head of Department</w:t>
            </w:r>
          </w:p>
        </w:tc>
        <w:tc>
          <w:tcPr>
            <w:tcW w:type="dxa" w:w="2160"/>
          </w:tcPr>
          <w:p>
            <w:pPr>
              <w:spacing w:before="40" w:after="40" w:line="240" w:lineRule="auto"/>
              <w:jc w:val="both"/>
            </w:pPr>
            <w:r>
              <w:rPr>
                <w:rFonts w:ascii="Times New Roman" w:hAnsi="Times New Roman"/>
                <w:sz w:val="22"/>
              </w:rPr>
              <w:t>[Head of Department — Full Name and Rank]</w:t>
            </w:r>
          </w:p>
        </w:tc>
        <w:tc>
          <w:tcPr>
            <w:tcW w:type="dxa" w:w="2160"/>
          </w:tcPr>
          <w:p>
            <w:pPr>
              <w:spacing w:before="40" w:after="40" w:line="240" w:lineRule="auto"/>
              <w:jc w:val="both"/>
            </w:pPr>
            <w:r>
              <w:rPr>
                <w:rFonts w:ascii="Times New Roman" w:hAnsi="Times New Roman"/>
                <w:sz w:val="22"/>
              </w:rPr>
              <w:t>____________</w:t>
            </w:r>
          </w:p>
        </w:tc>
        <w:tc>
          <w:tcPr>
            <w:tcW w:type="dxa" w:w="2160"/>
          </w:tcPr>
          <w:p>
            <w:pPr>
              <w:spacing w:before="40" w:after="40" w:line="240" w:lineRule="auto"/>
              <w:jc w:val="both"/>
            </w:pPr>
            <w:r>
              <w:rPr>
                <w:rFonts w:ascii="Times New Roman" w:hAnsi="Times New Roman"/>
                <w:sz w:val="22"/>
              </w:rPr>
              <w:t>______</w:t>
            </w:r>
          </w:p>
        </w:tc>
      </w:tr>
      <w:tr>
        <w:tc>
          <w:tcPr>
            <w:tcW w:type="dxa" w:w="2160"/>
          </w:tcPr>
          <w:p>
            <w:pPr>
              <w:spacing w:before="40" w:after="40" w:line="240" w:lineRule="auto"/>
              <w:jc w:val="both"/>
            </w:pPr>
            <w:r>
              <w:rPr>
                <w:rFonts w:ascii="Times New Roman" w:hAnsi="Times New Roman"/>
                <w:sz w:val="22"/>
              </w:rPr>
              <w:t>Postgraduate Coordinator</w:t>
            </w:r>
          </w:p>
        </w:tc>
        <w:tc>
          <w:tcPr>
            <w:tcW w:type="dxa" w:w="2160"/>
          </w:tcPr>
          <w:p>
            <w:pPr>
              <w:spacing w:before="40" w:after="40" w:line="240" w:lineRule="auto"/>
              <w:jc w:val="both"/>
            </w:pPr>
            <w:r>
              <w:rPr>
                <w:rFonts w:ascii="Times New Roman" w:hAnsi="Times New Roman"/>
                <w:sz w:val="22"/>
              </w:rPr>
              <w:t>[Postgraduate Coordinator — Full Name and Rank]</w:t>
            </w:r>
          </w:p>
        </w:tc>
        <w:tc>
          <w:tcPr>
            <w:tcW w:type="dxa" w:w="2160"/>
          </w:tcPr>
          <w:p>
            <w:pPr>
              <w:spacing w:before="40" w:after="40" w:line="240" w:lineRule="auto"/>
              <w:jc w:val="both"/>
            </w:pPr>
            <w:r>
              <w:rPr>
                <w:rFonts w:ascii="Times New Roman" w:hAnsi="Times New Roman"/>
                <w:sz w:val="22"/>
              </w:rPr>
              <w:t>____________</w:t>
            </w:r>
          </w:p>
        </w:tc>
        <w:tc>
          <w:tcPr>
            <w:tcW w:type="dxa" w:w="2160"/>
          </w:tcPr>
          <w:p>
            <w:pPr>
              <w:spacing w:before="40" w:after="40" w:line="240" w:lineRule="auto"/>
              <w:jc w:val="both"/>
            </w:pPr>
            <w:r>
              <w:rPr>
                <w:rFonts w:ascii="Times New Roman" w:hAnsi="Times New Roman"/>
                <w:sz w:val="22"/>
              </w:rPr>
              <w:t>______</w:t>
            </w:r>
          </w:p>
        </w:tc>
      </w:tr>
      <w:tr>
        <w:tc>
          <w:tcPr>
            <w:tcW w:type="dxa" w:w="2160"/>
          </w:tcPr>
          <w:p>
            <w:pPr>
              <w:spacing w:before="40" w:after="40" w:line="240" w:lineRule="auto"/>
              <w:jc w:val="both"/>
            </w:pPr>
            <w:r>
              <w:rPr>
                <w:rFonts w:ascii="Times New Roman" w:hAnsi="Times New Roman"/>
                <w:sz w:val="22"/>
              </w:rPr>
              <w:t>Provost, Postgraduate College</w:t>
            </w:r>
          </w:p>
        </w:tc>
        <w:tc>
          <w:tcPr>
            <w:tcW w:type="dxa" w:w="2160"/>
          </w:tcPr>
          <w:p>
            <w:pPr>
              <w:spacing w:before="40" w:after="40" w:line="240" w:lineRule="auto"/>
              <w:jc w:val="both"/>
            </w:pPr>
            <w:r>
              <w:rPr>
                <w:rFonts w:ascii="Times New Roman" w:hAnsi="Times New Roman"/>
                <w:sz w:val="22"/>
              </w:rPr>
              <w:t>Prof. O. O. Okubanjo</w:t>
            </w:r>
          </w:p>
        </w:tc>
        <w:tc>
          <w:tcPr>
            <w:tcW w:type="dxa" w:w="2160"/>
          </w:tcPr>
          <w:p>
            <w:pPr>
              <w:spacing w:before="40" w:after="40" w:line="240" w:lineRule="auto"/>
              <w:jc w:val="both"/>
            </w:pPr>
            <w:r>
              <w:rPr>
                <w:rFonts w:ascii="Times New Roman" w:hAnsi="Times New Roman"/>
                <w:sz w:val="22"/>
              </w:rPr>
              <w:t>____________</w:t>
            </w:r>
          </w:p>
        </w:tc>
        <w:tc>
          <w:tcPr>
            <w:tcW w:type="dxa" w:w="2160"/>
          </w:tcPr>
          <w:p>
            <w:pPr>
              <w:spacing w:before="40" w:after="40" w:line="240" w:lineRule="auto"/>
              <w:jc w:val="both"/>
            </w:pPr>
            <w:r>
              <w:rPr>
                <w:rFonts w:ascii="Times New Roman" w:hAnsi="Times New Roman"/>
                <w:sz w:val="22"/>
              </w:rPr>
              <w:t>______</w:t>
            </w:r>
          </w:p>
        </w:tc>
      </w:tr>
    </w:tbl>
    <w:p>
      <w:r>
        <w:br w:type="page"/>
      </w:r>
    </w:p>
    <w:p>
      <w:pPr>
        <w:pStyle w:val="Heading2"/>
        <w:spacing w:before="240" w:after="120" w:line="240" w:lineRule="auto"/>
        <w:jc w:val="left"/>
      </w:pPr>
      <w:r>
        <w:rPr>
          <w:rFonts w:ascii="Times New Roman" w:hAnsi="Times New Roman"/>
          <w:b/>
          <w:i w:val="0"/>
          <w:color w:val="000000"/>
          <w:sz w:val="24"/>
        </w:rPr>
        <w:t>DEDICATION</w:t>
      </w:r>
    </w:p>
    <w:p>
      <w:pPr>
        <w:spacing w:before="0" w:after="120" w:line="240" w:lineRule="auto"/>
        <w:jc w:val="center"/>
      </w:pPr>
      <w:r>
        <w:rPr>
          <w:rFonts w:ascii="Times New Roman" w:hAnsi="Times New Roman"/>
          <w:b w:val="0"/>
          <w:i/>
          <w:sz w:val="24"/>
        </w:rPr>
        <w:t>This work is dedicated to Almighty Allah, the Most Gracious and Most Merciful, and to my beloved family whose prayers, love, and unwavering support sustained me throughout this academic journey.</w:t>
      </w:r>
    </w:p>
    <w:p>
      <w:r>
        <w:br w:type="page"/>
      </w:r>
    </w:p>
    <w:p>
      <w:pPr>
        <w:pStyle w:val="Heading2"/>
        <w:spacing w:before="240" w:after="120" w:line="240" w:lineRule="auto"/>
        <w:jc w:val="left"/>
      </w:pPr>
      <w:r>
        <w:rPr>
          <w:rFonts w:ascii="Times New Roman" w:hAnsi="Times New Roman"/>
          <w:b/>
          <w:i w:val="0"/>
          <w:color w:val="000000"/>
          <w:sz w:val="24"/>
        </w:rPr>
        <w:t>ACKNOWLEDGEMENT</w:t>
      </w:r>
    </w:p>
    <w:p>
      <w:pPr>
        <w:spacing w:before="0" w:after="120" w:line="240" w:lineRule="auto"/>
        <w:jc w:val="both"/>
      </w:pPr>
      <w:r>
        <w:rPr>
          <w:rFonts w:ascii="Times New Roman" w:hAnsi="Times New Roman"/>
          <w:b w:val="0"/>
          <w:i w:val="0"/>
          <w:sz w:val="24"/>
        </w:rPr>
        <w:t>All praises and thanks are due to Almighty Allah (Subhanahu wa Ta'ala), the Lord of the worlds, for granting me the knowledge, patience, and strength to complete this work.</w:t>
      </w:r>
    </w:p>
    <w:p>
      <w:pPr>
        <w:spacing w:before="0" w:after="120" w:line="240" w:lineRule="auto"/>
        <w:jc w:val="both"/>
      </w:pPr>
      <w:r>
        <w:rPr>
          <w:rFonts w:ascii="Times New Roman" w:hAnsi="Times New Roman"/>
          <w:b w:val="0"/>
          <w:i w:val="0"/>
          <w:sz w:val="24"/>
        </w:rPr>
        <w:t>I wish to express my profound gratitude to my supervisory committee: Prof. Junaidu Kabir (Chairman) and Dr. U.U. Bashir (Member), for their exceptional guidance, invaluable advice, and constructive criticisms throughout the period of this study. Their commitment to excellence greatly shaped the quality of this work.</w:t>
      </w:r>
    </w:p>
    <w:p>
      <w:pPr>
        <w:spacing w:before="0" w:after="120" w:line="240" w:lineRule="auto"/>
        <w:jc w:val="both"/>
      </w:pPr>
      <w:r>
        <w:rPr>
          <w:rFonts w:ascii="Times New Roman" w:hAnsi="Times New Roman"/>
          <w:b w:val="0"/>
          <w:i w:val="0"/>
          <w:sz w:val="24"/>
        </w:rPr>
        <w:t>My sincere appreciation goes to the Head of Department and all academic and support staff of the Department of Veterinary Public Health and Preventive Medicine, Faculty of Veterinary Medicine, Ahmadu Bello University, Zaria, for their assistance and the use of departmental facilities.</w:t>
      </w:r>
    </w:p>
    <w:p>
      <w:pPr>
        <w:spacing w:before="0" w:after="120" w:line="240" w:lineRule="auto"/>
        <w:jc w:val="both"/>
      </w:pPr>
      <w:r>
        <w:rPr>
          <w:rFonts w:ascii="Times New Roman" w:hAnsi="Times New Roman"/>
          <w:b w:val="0"/>
          <w:i w:val="0"/>
          <w:sz w:val="24"/>
        </w:rPr>
        <w:t>Special thanks to the laboratory staff of the Bacterial Zoonoses Laboratory for their technical support during sample processing, bacterial isolation, biochemical characterisation, antimicrobial susceptibility testing, and molecular analysis.</w:t>
      </w:r>
    </w:p>
    <w:p>
      <w:pPr>
        <w:spacing w:before="0" w:after="120" w:line="240" w:lineRule="auto"/>
        <w:jc w:val="both"/>
      </w:pPr>
      <w:r>
        <w:rPr>
          <w:rFonts w:ascii="Times New Roman" w:hAnsi="Times New Roman"/>
          <w:b w:val="0"/>
          <w:i w:val="0"/>
          <w:sz w:val="24"/>
        </w:rPr>
        <w:t>Finally, my heartfelt thanks go to my family for their endless support, encouragement, and prayers throughout my academic journey. May Almighty Allah reward them abundantly.</w:t>
      </w:r>
    </w:p>
    <w:p>
      <w:r>
        <w:br w:type="page"/>
      </w:r>
    </w:p>
    <w:p>
      <w:pPr>
        <w:pStyle w:val="Heading2"/>
        <w:spacing w:before="240" w:after="120" w:line="240" w:lineRule="auto"/>
        <w:jc w:val="left"/>
      </w:pPr>
      <w:r>
        <w:rPr>
          <w:rFonts w:ascii="Times New Roman" w:hAnsi="Times New Roman"/>
          <w:b/>
          <w:i w:val="0"/>
          <w:color w:val="000000"/>
          <w:sz w:val="24"/>
        </w:rPr>
        <w:t>ABSTRACT</w:t>
      </w:r>
    </w:p>
    <w:p>
      <w:pPr>
        <w:spacing w:before="0" w:after="120" w:line="240" w:lineRule="auto"/>
        <w:jc w:val="both"/>
      </w:pPr>
      <w:r>
        <w:rPr>
          <w:rFonts w:ascii="Times New Roman" w:hAnsi="Times New Roman"/>
          <w:b w:val="0"/>
          <w:i w:val="0"/>
          <w:sz w:val="24"/>
        </w:rPr>
        <w:t xml:space="preserve">Antimicrobial resistance (AMR) poses a critical global public health threat, with poultry environments recognized as major reservoirs of multidrug-resistant (MDR) bacteria and mobile resistance gene vectors; integrons, particularly Class I and Class II, are key mobile genetic elements driving the horizontal dissemination of AMR in food-animal settings, yet the role of commercial poultry manure traded informally in Nigerian urban markets as a reservoir of MDR </w:t>
      </w:r>
      <w:r>
        <w:rPr>
          <w:rFonts w:ascii="Times New Roman" w:hAnsi="Times New Roman"/>
          <w:b w:val="0"/>
          <w:i/>
          <w:sz w:val="24"/>
        </w:rPr>
        <w:t>Escherichia coli</w:t>
      </w:r>
      <w:r>
        <w:rPr>
          <w:rFonts w:ascii="Times New Roman" w:hAnsi="Times New Roman"/>
          <w:b w:val="0"/>
          <w:i w:val="0"/>
          <w:sz w:val="24"/>
        </w:rPr>
        <w:t xml:space="preserve"> bearing integrons remains undocumented in North-West Nigeria. This study aimed to: (1) isolate antimicrobial resistant </w:t>
      </w:r>
      <w:r>
        <w:rPr>
          <w:rFonts w:ascii="Times New Roman" w:hAnsi="Times New Roman"/>
          <w:b w:val="0"/>
          <w:i/>
          <w:sz w:val="24"/>
        </w:rPr>
        <w:t>Escherichia coli</w:t>
      </w:r>
      <w:r>
        <w:rPr>
          <w:rFonts w:ascii="Times New Roman" w:hAnsi="Times New Roman"/>
          <w:b w:val="0"/>
          <w:i w:val="0"/>
          <w:sz w:val="24"/>
        </w:rPr>
        <w:t xml:space="preserve"> from commercial poultry manure obtained from vendors in Zaria; (2) determine the proportion of isolates that are multidrug resistant; and (3) detect the presence of Class I and Class II integrons in the MDR </w:t>
      </w:r>
      <w:r>
        <w:rPr>
          <w:rFonts w:ascii="Times New Roman" w:hAnsi="Times New Roman"/>
          <w:b w:val="0"/>
          <w:i/>
          <w:sz w:val="24"/>
        </w:rPr>
        <w:t>E. coli</w:t>
      </w:r>
      <w:r>
        <w:rPr>
          <w:rFonts w:ascii="Times New Roman" w:hAnsi="Times New Roman"/>
          <w:b w:val="0"/>
          <w:i w:val="0"/>
          <w:sz w:val="24"/>
        </w:rPr>
        <w:t xml:space="preserve"> isolates. A cross-sectional study was conducted across eight commercial poultry manure vendor locations in Zaria Metropolis, Kaduna State, Nigeria, whereby 152 samples were collected and processed for </w:t>
      </w:r>
      <w:r>
        <w:rPr>
          <w:rFonts w:ascii="Times New Roman" w:hAnsi="Times New Roman"/>
          <w:b w:val="0"/>
          <w:i/>
          <w:sz w:val="24"/>
        </w:rPr>
        <w:t>E. coli</w:t>
      </w:r>
      <w:r>
        <w:rPr>
          <w:rFonts w:ascii="Times New Roman" w:hAnsi="Times New Roman"/>
          <w:b w:val="0"/>
          <w:i w:val="0"/>
          <w:sz w:val="24"/>
        </w:rPr>
        <w:t xml:space="preserve"> isolation using Eosin Methylene Blue agar, standard biochemical tests, and PCR amplification of the 16S rRNA gene; antibiotic susceptibility was determined by Kirby-Bauer disk diffusion against ten antibiotics in accordance with CLSI (2024) guidelines, the Multiple Antibiotic Resistance (MAR) index was calculated, and Class I and Class II integrons were detected by PCR using established primer pairs targeting the </w:t>
      </w:r>
      <w:r>
        <w:rPr>
          <w:rFonts w:ascii="Times New Roman" w:hAnsi="Times New Roman"/>
          <w:b w:val="0"/>
          <w:i/>
          <w:sz w:val="24"/>
        </w:rPr>
        <w:t>intI1</w:t>
      </w:r>
      <w:r>
        <w:rPr>
          <w:rFonts w:ascii="Times New Roman" w:hAnsi="Times New Roman"/>
          <w:b w:val="0"/>
          <w:i w:val="0"/>
          <w:sz w:val="24"/>
        </w:rPr>
        <w:t xml:space="preserve"> (amplicon ~1,100 bp) and </w:t>
      </w:r>
      <w:r>
        <w:rPr>
          <w:rFonts w:ascii="Times New Roman" w:hAnsi="Times New Roman"/>
          <w:b w:val="0"/>
          <w:i/>
          <w:sz w:val="24"/>
        </w:rPr>
        <w:t>intI2</w:t>
      </w:r>
      <w:r>
        <w:rPr>
          <w:rFonts w:ascii="Times New Roman" w:hAnsi="Times New Roman"/>
          <w:b w:val="0"/>
          <w:i w:val="0"/>
          <w:sz w:val="24"/>
        </w:rPr>
        <w:t xml:space="preserve"> (amplicon ~233 bp) integrase genes respectively. A total of 88 samples (57.89%) were culture-positive on EMB agar, and 37 (24.34%) were confirmed as </w:t>
      </w:r>
      <w:r>
        <w:rPr>
          <w:rFonts w:ascii="Times New Roman" w:hAnsi="Times New Roman"/>
          <w:b w:val="0"/>
          <w:i/>
          <w:sz w:val="24"/>
        </w:rPr>
        <w:t>E. coli</w:t>
      </w:r>
      <w:r>
        <w:rPr>
          <w:rFonts w:ascii="Times New Roman" w:hAnsi="Times New Roman"/>
          <w:b w:val="0"/>
          <w:i w:val="0"/>
          <w:sz w:val="24"/>
        </w:rPr>
        <w:t xml:space="preserve"> by biochemical tests and PCR; all 37 isolates (100%) were multidrug resistant, with MAR indices ranging from 0.3 to 0.9, and ten distinct resistance patterns were identified, with the predominant pattern, observed in 19 isolates (51.35%), comprising simultaneous resistance to eight antibiotics. All isolates were susceptible to meropenem (100%) and resistant to azithromycin (100%), while resistance rates were highest for trimethoprim-sulfamethoxazole (97.29%), chloramphenicol (97.29%), ciprofloxacin (97.29%), nalidixic acid (94.59%), gentamicin (91.89%), and tetracycline (89.18%); Class I integrons were detected in 36 of 37 isolates (97.2%), Class II integrons in 28 of 37 (75.6%), and 27 isolates (73.0%) carried both integron classes simultaneously. Commercial poultry manure from vendors in Zaria Metropolis is a significant environmental reservoir of MDR </w:t>
      </w:r>
      <w:r>
        <w:rPr>
          <w:rFonts w:ascii="Times New Roman" w:hAnsi="Times New Roman"/>
          <w:b w:val="0"/>
          <w:i/>
          <w:sz w:val="24"/>
        </w:rPr>
        <w:t>Escherichia coli</w:t>
      </w:r>
      <w:r>
        <w:rPr>
          <w:rFonts w:ascii="Times New Roman" w:hAnsi="Times New Roman"/>
          <w:b w:val="0"/>
          <w:i w:val="0"/>
          <w:sz w:val="24"/>
        </w:rPr>
        <w:t xml:space="preserve"> bearing Class I and Class II integrons, and the near-universal Class I integron prevalence (97.2%) alongside high Class II prevalence (75.6%) indicates a substantial capacity for horizontal antibiotic resistance gene transfer at the urban agricultural interface, underscoring the urgent need for AMR surveillance at poultry manure vendor markets and antibiotic stewardship interventions in the commercial poultry sector.</w:t>
      </w:r>
    </w:p>
    <w:p>
      <w:pPr>
        <w:spacing w:before="0" w:after="120" w:line="240" w:lineRule="auto"/>
        <w:jc w:val="both"/>
      </w:pPr>
    </w:p>
    <w:p>
      <w:pPr>
        <w:spacing w:before="120" w:after="0" w:line="240" w:lineRule="auto"/>
        <w:jc w:val="both"/>
      </w:pPr>
      <w:r>
        <w:rPr>
          <w:rFonts w:ascii="Times New Roman" w:hAnsi="Times New Roman"/>
          <w:b/>
          <w:i w:val="0"/>
          <w:sz w:val="24"/>
        </w:rPr>
        <w:t xml:space="preserve">Keywords: </w:t>
      </w:r>
      <w:r>
        <w:rPr>
          <w:rFonts w:ascii="Times New Roman" w:hAnsi="Times New Roman"/>
          <w:b w:val="0"/>
          <w:i w:val="0"/>
          <w:sz w:val="24"/>
        </w:rPr>
        <w:t>Escherichia coli, multidrug resistance, integrons, poultry manure, antimicrobial resistance, Zaria, Nigeria, Class I integron, Class II integron, MAR index, One Health, veterinary public health</w:t>
      </w:r>
    </w:p>
    <w:p>
      <w:r>
        <w:br w:type="page"/>
      </w:r>
    </w:p>
    <w:p>
      <w:pPr>
        <w:pStyle w:val="Heading2"/>
        <w:spacing w:before="240" w:after="120" w:line="240" w:lineRule="auto"/>
        <w:jc w:val="left"/>
      </w:pPr>
      <w:r>
        <w:rPr>
          <w:rFonts w:ascii="Times New Roman" w:hAnsi="Times New Roman"/>
          <w:b/>
          <w:i w:val="0"/>
          <w:color w:val="000000"/>
          <w:sz w:val="24"/>
        </w:rPr>
        <w:t>TABLE OF CONTENTS</w:t>
      </w:r>
    </w:p>
    <w:p>
      <w:pPr>
        <w:spacing w:before="0" w:after="0"/>
      </w:pPr>
      <w:r>
        <w:fldChar w:fldCharType="begin"/>
        <w:instrText xml:space="preserve">TOC \o "1-3" \h \z \u</w:instrText>
        <w:fldChar w:fldCharType="separate"/>
        <w:fldChar w:fldCharType="end"/>
      </w:r>
    </w:p>
    <w:p>
      <w:pPr>
        <w:spacing w:before="0" w:after="120" w:line="240" w:lineRule="auto"/>
        <w:jc w:val="center"/>
      </w:pPr>
      <w:r>
        <w:rPr>
          <w:rFonts w:ascii="Times New Roman" w:hAnsi="Times New Roman"/>
          <w:b w:val="0"/>
          <w:i/>
          <w:sz w:val="24"/>
        </w:rPr>
        <w:t>[Right-click here → 'Update Field' to generate Table of Contents]</w:t>
      </w:r>
    </w:p>
    <w:p>
      <w:r>
        <w:br w:type="page"/>
      </w:r>
    </w:p>
    <w:p>
      <w:pPr>
        <w:pStyle w:val="Heading2"/>
        <w:spacing w:before="240" w:after="120" w:line="240" w:lineRule="auto"/>
        <w:jc w:val="left"/>
      </w:pPr>
      <w:r>
        <w:rPr>
          <w:rFonts w:ascii="Times New Roman" w:hAnsi="Times New Roman"/>
          <w:b/>
          <w:i w:val="0"/>
          <w:color w:val="000000"/>
          <w:sz w:val="24"/>
        </w:rP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line="240" w:lineRule="auto"/>
              <w:jc w:val="both"/>
            </w:pPr>
            <w:r>
              <w:rPr>
                <w:rFonts w:ascii="Times New Roman" w:hAnsi="Times New Roman"/>
                <w:sz w:val="22"/>
              </w:rPr>
            </w:r>
            <w:r>
              <w:rPr>
                <w:rFonts w:ascii="Times New Roman" w:hAnsi="Times New Roman"/>
                <w:b/>
                <w:i w:val="0"/>
                <w:sz w:val="22"/>
              </w:rPr>
              <w:t>Table</w:t>
            </w:r>
          </w:p>
        </w:tc>
        <w:tc>
          <w:tcPr>
            <w:tcW w:type="dxa" w:w="2880"/>
          </w:tcPr>
          <w:p>
            <w:pPr>
              <w:spacing w:before="40" w:after="40" w:line="240" w:lineRule="auto"/>
              <w:jc w:val="both"/>
            </w:pPr>
            <w:r>
              <w:rPr>
                <w:rFonts w:ascii="Times New Roman" w:hAnsi="Times New Roman"/>
                <w:sz w:val="22"/>
              </w:rPr>
            </w:r>
            <w:r>
              <w:rPr>
                <w:rFonts w:ascii="Times New Roman" w:hAnsi="Times New Roman"/>
                <w:b/>
                <w:i w:val="0"/>
                <w:sz w:val="22"/>
              </w:rPr>
              <w:t>Title</w:t>
            </w:r>
          </w:p>
        </w:tc>
        <w:tc>
          <w:tcPr>
            <w:tcW w:type="dxa" w:w="2880"/>
          </w:tcPr>
          <w:p>
            <w:pPr>
              <w:spacing w:before="40" w:after="40" w:line="240" w:lineRule="auto"/>
              <w:jc w:val="both"/>
            </w:pPr>
            <w:r>
              <w:rPr>
                <w:rFonts w:ascii="Times New Roman" w:hAnsi="Times New Roman"/>
                <w:sz w:val="22"/>
              </w:rPr>
            </w:r>
            <w:r>
              <w:rPr>
                <w:rFonts w:ascii="Times New Roman" w:hAnsi="Times New Roman"/>
                <w:b/>
                <w:i w:val="0"/>
                <w:sz w:val="22"/>
              </w:rPr>
              <w:t>Page</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3.1</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Antibiotic discs used for antimicrobial susceptibility testing (CLSI, 2024)</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3.2</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Primers used for PCR amplification (16S rRNA, Class I and Class II integrons)</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4.1</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Distribution of </w:t>
            </w:r>
            <w:r>
              <w:rPr>
                <w:rFonts w:ascii="Times New Roman" w:hAnsi="Times New Roman"/>
                <w:b w:val="0"/>
                <w:i/>
                <w:sz w:val="22"/>
              </w:rPr>
              <w:t>E. coli</w:t>
            </w:r>
            <w:r>
              <w:rPr>
                <w:rFonts w:ascii="Times New Roman" w:hAnsi="Times New Roman"/>
                <w:b w:val="0"/>
                <w:i w:val="0"/>
                <w:sz w:val="22"/>
              </w:rPr>
              <w:t xml:space="preserve"> isolates by sampling location in Zaria Metropolis</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4.2</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Antimicrobial susceptibility patterns of </w:t>
            </w:r>
            <w:r>
              <w:rPr>
                <w:rFonts w:ascii="Times New Roman" w:hAnsi="Times New Roman"/>
                <w:b w:val="0"/>
                <w:i/>
                <w:sz w:val="22"/>
              </w:rPr>
              <w:t>E. coli</w:t>
            </w:r>
            <w:r>
              <w:rPr>
                <w:rFonts w:ascii="Times New Roman" w:hAnsi="Times New Roman"/>
                <w:b w:val="0"/>
                <w:i w:val="0"/>
                <w:sz w:val="22"/>
              </w:rPr>
              <w:t xml:space="preserve"> isolates (n=37)</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4.3</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Multiple Antibiotic Resistance (MAR) index of </w:t>
            </w:r>
            <w:r>
              <w:rPr>
                <w:rFonts w:ascii="Times New Roman" w:hAnsi="Times New Roman"/>
                <w:b w:val="0"/>
                <w:i/>
                <w:sz w:val="22"/>
              </w:rPr>
              <w:t>E. coli</w:t>
            </w:r>
            <w:r>
              <w:rPr>
                <w:rFonts w:ascii="Times New Roman" w:hAnsi="Times New Roman"/>
                <w:b w:val="0"/>
                <w:i w:val="0"/>
                <w:sz w:val="22"/>
              </w:rPr>
              <w:t xml:space="preserve"> isolates</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4.4</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Distinct antimicrobial resistance patterns among MDR </w:t>
            </w:r>
            <w:r>
              <w:rPr>
                <w:rFonts w:ascii="Times New Roman" w:hAnsi="Times New Roman"/>
                <w:b w:val="0"/>
                <w:i/>
                <w:sz w:val="22"/>
              </w:rPr>
              <w:t>E. coli</w:t>
            </w:r>
            <w:r>
              <w:rPr>
                <w:rFonts w:ascii="Times New Roman" w:hAnsi="Times New Roman"/>
                <w:b w:val="0"/>
                <w:i w:val="0"/>
                <w:sz w:val="22"/>
              </w:rPr>
              <w:t xml:space="preserve"> isolates</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4.5</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Prevalence of Class I and Class II integrons among </w:t>
            </w:r>
            <w:r>
              <w:rPr>
                <w:rFonts w:ascii="Times New Roman" w:hAnsi="Times New Roman"/>
                <w:b w:val="0"/>
                <w:i/>
                <w:sz w:val="22"/>
              </w:rPr>
              <w:t>E. coli</w:t>
            </w:r>
            <w:r>
              <w:rPr>
                <w:rFonts w:ascii="Times New Roman" w:hAnsi="Times New Roman"/>
                <w:b w:val="0"/>
                <w:i w:val="0"/>
                <w:sz w:val="22"/>
              </w:rPr>
              <w:t xml:space="preserve"> isolates by location</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bl>
    <w:p>
      <w:pPr>
        <w:spacing w:after="120"/>
      </w:pPr>
    </w:p>
    <w:p>
      <w:r>
        <w:br w:type="page"/>
      </w:r>
    </w:p>
    <w:p>
      <w:pPr>
        <w:pStyle w:val="Heading2"/>
        <w:spacing w:before="240" w:after="120" w:line="240" w:lineRule="auto"/>
        <w:jc w:val="left"/>
      </w:pPr>
      <w:r>
        <w:rPr>
          <w:rFonts w:ascii="Times New Roman" w:hAnsi="Times New Roman"/>
          <w:b/>
          <w:i w:val="0"/>
          <w:color w:val="000000"/>
          <w:sz w:val="24"/>
        </w:rPr>
        <w:t>LIST OF PLATES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line="240" w:lineRule="auto"/>
              <w:jc w:val="both"/>
            </w:pPr>
            <w:r>
              <w:rPr>
                <w:rFonts w:ascii="Times New Roman" w:hAnsi="Times New Roman"/>
                <w:sz w:val="22"/>
              </w:rPr>
            </w:r>
            <w:r>
              <w:rPr>
                <w:rFonts w:ascii="Times New Roman" w:hAnsi="Times New Roman"/>
                <w:b/>
                <w:i w:val="0"/>
                <w:sz w:val="22"/>
              </w:rPr>
              <w:t>Plate</w:t>
            </w:r>
          </w:p>
        </w:tc>
        <w:tc>
          <w:tcPr>
            <w:tcW w:type="dxa" w:w="2880"/>
          </w:tcPr>
          <w:p>
            <w:pPr>
              <w:spacing w:before="40" w:after="40" w:line="240" w:lineRule="auto"/>
              <w:jc w:val="both"/>
            </w:pPr>
            <w:r>
              <w:rPr>
                <w:rFonts w:ascii="Times New Roman" w:hAnsi="Times New Roman"/>
                <w:sz w:val="22"/>
              </w:rPr>
            </w:r>
            <w:r>
              <w:rPr>
                <w:rFonts w:ascii="Times New Roman" w:hAnsi="Times New Roman"/>
                <w:b/>
                <w:i w:val="0"/>
                <w:sz w:val="22"/>
              </w:rPr>
              <w:t>Description</w:t>
            </w:r>
          </w:p>
        </w:tc>
        <w:tc>
          <w:tcPr>
            <w:tcW w:type="dxa" w:w="2880"/>
          </w:tcPr>
          <w:p>
            <w:pPr>
              <w:spacing w:before="40" w:after="40" w:line="240" w:lineRule="auto"/>
              <w:jc w:val="both"/>
            </w:pPr>
            <w:r>
              <w:rPr>
                <w:rFonts w:ascii="Times New Roman" w:hAnsi="Times New Roman"/>
                <w:sz w:val="22"/>
              </w:rPr>
            </w:r>
            <w:r>
              <w:rPr>
                <w:rFonts w:ascii="Times New Roman" w:hAnsi="Times New Roman"/>
                <w:b/>
                <w:i w:val="0"/>
                <w:sz w:val="22"/>
              </w:rPr>
              <w:t>Page</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4.1</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Eosin Methylene Blue (EMB) agar showing metallic green sheen colonies of </w:t>
            </w:r>
            <w:r>
              <w:rPr>
                <w:rFonts w:ascii="Times New Roman" w:hAnsi="Times New Roman"/>
                <w:b w:val="0"/>
                <w:i/>
                <w:sz w:val="22"/>
              </w:rPr>
              <w:t>E. coli</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4.2</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Agarose gel electrophoresis showing PCR amplification of 16S rRNA gene (expected band: ~1,500 bp) confirming </w:t>
            </w:r>
            <w:r>
              <w:rPr>
                <w:rFonts w:ascii="Times New Roman" w:hAnsi="Times New Roman"/>
                <w:b w:val="0"/>
                <w:i/>
                <w:sz w:val="22"/>
              </w:rPr>
              <w:t>E. coli</w:t>
            </w:r>
            <w:r>
              <w:rPr>
                <w:rFonts w:ascii="Times New Roman" w:hAnsi="Times New Roman"/>
                <w:b w:val="0"/>
                <w:i w:val="0"/>
                <w:sz w:val="22"/>
              </w:rPr>
              <w:t xml:space="preserve"> isolates</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r>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4.3</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 xml:space="preserve">Agarose gel electrophoresis showing PCR amplification of Class I integron (1,100 bp) and Class II integron (233 bp) gene fragments in </w:t>
            </w:r>
            <w:r>
              <w:rPr>
                <w:rFonts w:ascii="Times New Roman" w:hAnsi="Times New Roman"/>
                <w:b w:val="0"/>
                <w:i/>
                <w:sz w:val="22"/>
              </w:rPr>
              <w:t>E. coli</w:t>
            </w:r>
            <w:r>
              <w:rPr>
                <w:rFonts w:ascii="Times New Roman" w:hAnsi="Times New Roman"/>
                <w:b w:val="0"/>
                <w:i w:val="0"/>
                <w:sz w:val="22"/>
              </w:rPr>
              <w:t xml:space="preserve"> isolates</w:t>
            </w:r>
          </w:p>
        </w:tc>
        <w:tc>
          <w:tcPr>
            <w:tcW w:type="dxa" w:w="2880"/>
          </w:tcPr>
          <w:p>
            <w:pPr>
              <w:spacing w:before="40" w:after="40" w:line="240" w:lineRule="auto"/>
              <w:jc w:val="both"/>
            </w:pPr>
            <w:r>
              <w:rPr>
                <w:rFonts w:ascii="Times New Roman" w:hAnsi="Times New Roman"/>
                <w:sz w:val="22"/>
              </w:rPr>
            </w:r>
            <w:r>
              <w:rPr>
                <w:rFonts w:ascii="Times New Roman" w:hAnsi="Times New Roman"/>
                <w:b w:val="0"/>
                <w:i w:val="0"/>
                <w:sz w:val="22"/>
              </w:rPr>
              <w:t>—</w:t>
            </w:r>
          </w:p>
        </w:tc>
      </w:tr>
    </w:tbl>
    <w:p>
      <w:pPr>
        <w:spacing w:after="120"/>
      </w:pPr>
    </w:p>
    <w:p>
      <w:r>
        <w:br w:type="page"/>
      </w:r>
    </w:p>
    <w:p>
      <w:pPr>
        <w:pStyle w:val="Heading2"/>
        <w:spacing w:before="240" w:after="120" w:line="240" w:lineRule="auto"/>
        <w:jc w:val="left"/>
      </w:pPr>
      <w:r>
        <w:rPr>
          <w:rFonts w:ascii="Times New Roman" w:hAnsi="Times New Roman"/>
          <w:b/>
          <w:i w:val="0"/>
          <w:color w:val="000000"/>
          <w:sz w:val="24"/>
        </w:rPr>
        <w:t>LIST OF ABBREVIATIONS</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line="240" w:lineRule="auto"/>
              <w:jc w:val="both"/>
            </w:pPr>
            <w:r>
              <w:rPr>
                <w:rFonts w:ascii="Times New Roman" w:hAnsi="Times New Roman"/>
                <w:sz w:val="22"/>
              </w:rPr>
            </w:r>
            <w:r>
              <w:rPr>
                <w:rFonts w:ascii="Times New Roman" w:hAnsi="Times New Roman"/>
                <w:b/>
                <w:i w:val="0"/>
                <w:sz w:val="22"/>
              </w:rPr>
              <w:t>Abbreviation</w:t>
            </w:r>
          </w:p>
        </w:tc>
        <w:tc>
          <w:tcPr>
            <w:tcW w:type="dxa" w:w="4320"/>
          </w:tcPr>
          <w:p>
            <w:pPr>
              <w:spacing w:before="40" w:after="40" w:line="240" w:lineRule="auto"/>
              <w:jc w:val="both"/>
            </w:pPr>
            <w:r>
              <w:rPr>
                <w:rFonts w:ascii="Times New Roman" w:hAnsi="Times New Roman"/>
                <w:sz w:val="22"/>
              </w:rPr>
            </w:r>
            <w:r>
              <w:rPr>
                <w:rFonts w:ascii="Times New Roman" w:hAnsi="Times New Roman"/>
                <w:b/>
                <w:i w:val="0"/>
                <w:sz w:val="22"/>
              </w:rPr>
              <w:t>Full Form</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ABU</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Ahmadu Bello University</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AMR</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Antimicrobial Resistance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ARB</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Antibiotic Resistant Bacteria</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ARG</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Antibiotic Resistance Gene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AST</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Antibiotic Susceptibility Testing</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AZM</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Azithromycin</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BPW</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Buffered Peptone Water</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Chloramphenicol</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CIP</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Ciprofloxacin</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CLSI</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Clinical Laboratory Standards Institute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CN</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Gentamicin</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CRO</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Ceftriaxone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DNA</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Deoxyribonucleic Acid</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EMB</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Eosin Methylene Blue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ESBL</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Extended Spectrum Beta-Lactamase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FAO</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Food and Agriculture Organization of the United Nations</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HGT</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Horizontal Gene Transfer</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LGA</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Local Government Area</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MAR</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Multiple Antibiotic Resistance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MDR</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Multidrug Resistant/Resistance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MEM</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Meropenem</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MGE</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Mobile Genetic Element</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MR-VP</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Methyl Red–Voges Proskauer</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NA</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Nalidixic Acid</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PCR</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Polymerase Chain Reaction</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rRNA</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Ribosomal Ribonucleic Acid</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SIM</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Sulfate Indole Motility</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SPSS</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Statistical Package for Social Sciences</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SXT</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Cotrimoxazole (Trimethoprim-Sulfamethoxazole)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TAE</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Tris Acetate EDTA</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TE</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Tetracycline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TSB</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Tryptone Soy Broth</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TSI</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Triple Sugar Iron</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UV</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Ultraviolet</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VPH</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Veterinary Public Health</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WHO</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World Health Organization</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WOAH</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World Organisation for Animal Health</w:t>
            </w:r>
          </w:p>
        </w:tc>
      </w:tr>
    </w:tbl>
    <w:p>
      <w:pPr>
        <w:spacing w:after="120"/>
      </w:pPr>
    </w:p>
    <w:p>
      <w:pPr>
        <w:sectPr>
          <w:footerReference w:type="default" r:id="rId9"/>
          <w:pgSz w:w="12240" w:h="15840"/>
          <w:pgMar w:top="1440" w:right="1440" w:bottom="1440" w:left="2160" w:header="720" w:footer="720" w:gutter="0"/>
          <w:cols w:space="720"/>
          <w:docGrid w:linePitch="360"/>
          <w:pgNumType w:fmt="lowerRoman" w:start="1"/>
        </w:sectPr>
      </w:pPr>
    </w:p>
    <w:p>
      <w:pPr>
        <w:pStyle w:val="Heading1"/>
        <w:spacing w:before="240" w:after="120" w:line="480" w:lineRule="auto"/>
        <w:jc w:val="center"/>
      </w:pPr>
      <w:r>
        <w:rPr>
          <w:rFonts w:ascii="Times New Roman" w:hAnsi="Times New Roman"/>
          <w:b/>
          <w:i w:val="0"/>
          <w:color w:val="000000"/>
          <w:sz w:val="28"/>
        </w:rPr>
        <w:t>CHAPTER ONE</w:t>
      </w:r>
    </w:p>
    <w:p>
      <w:pPr>
        <w:pStyle w:val="Heading2"/>
        <w:spacing w:before="240" w:after="120" w:line="480" w:lineRule="auto"/>
        <w:jc w:val="left"/>
      </w:pPr>
      <w:r>
        <w:rPr>
          <w:rFonts w:ascii="Times New Roman" w:hAnsi="Times New Roman"/>
          <w:b/>
          <w:i w:val="0"/>
          <w:color w:val="000000"/>
          <w:sz w:val="24"/>
        </w:rPr>
        <w:t>INTRODUCTION</w:t>
      </w:r>
    </w:p>
    <w:p>
      <w:pPr>
        <w:pStyle w:val="Heading3"/>
        <w:spacing w:before="120" w:after="60" w:line="480" w:lineRule="auto"/>
        <w:jc w:val="left"/>
      </w:pPr>
      <w:r>
        <w:rPr>
          <w:rFonts w:ascii="Times New Roman" w:hAnsi="Times New Roman"/>
          <w:b/>
          <w:i w:val="0"/>
          <w:color w:val="000000"/>
          <w:sz w:val="24"/>
        </w:rPr>
        <w:t>1.1 Background of the Study</w:t>
      </w:r>
    </w:p>
    <w:p>
      <w:pPr>
        <w:spacing w:before="0" w:after="120" w:line="480" w:lineRule="auto"/>
        <w:jc w:val="both"/>
      </w:pPr>
      <w:r>
        <w:rPr>
          <w:rFonts w:ascii="Times New Roman" w:hAnsi="Times New Roman"/>
          <w:b w:val="0"/>
          <w:i w:val="0"/>
          <w:sz w:val="24"/>
        </w:rPr>
        <w:t>The discovery of antibiotics in the twentieth century represented one of the most transformative advances in modern medicine, fundamentally altering the clinical management of bacterial infections that had previously carried high mortality. Penicillin, sulfonamides, and successive generations of antimicrobial agents enabled the control of once-fatal infectious diseases, underpinned complex surgical procedures, and made possible the use of immunosuppressive therapies in organ transplantation and cancer care (Fair &amp; Tor, 2014). However, this extraordinary therapeutic dividend has been progressively eroded by the emergence and global dissemination of antimicrobial resistance (AMR), a phenomenon now recognized as one of the gravest threats to human and animal health in the twenty-first century (Murray et al., 2022; Laxminarayan et al., 2013; Harbarth et al., 2015; Patra et al., 2025).</w:t>
      </w:r>
    </w:p>
    <w:p>
      <w:pPr>
        <w:spacing w:before="0" w:after="120" w:line="480" w:lineRule="auto"/>
        <w:jc w:val="both"/>
      </w:pPr>
      <w:r>
        <w:rPr>
          <w:rFonts w:ascii="Times New Roman" w:hAnsi="Times New Roman"/>
          <w:b w:val="0"/>
          <w:i w:val="0"/>
          <w:sz w:val="24"/>
        </w:rPr>
        <w:t>The scale of the AMR crisis is alarming by any measure. A landmark systematic analysis estimated that bacterial AMR was directly responsible for 1.27 million deaths worldwide in 2019 and was associated with approximately 4.95 million deaths when total attributable mortality was considered (Murray et al., 2022). Lower respiratory tract infections and bloodstream infections caused by drug-resistant pathogens accounted for the largest share of this burden. Sub-Saharan Africa recorded the highest age-standardized mortality attributable to AMR globally, reflecting the compounding effect of high infectious disease prevalence, limited healthcare infrastructure, and inadequate antimicrobial stewardship (Murray et al., 2022). Projections indicate that if current trajectories continue without coordinated intervention, AMR may cause up to 10 million deaths annually by 2050 and impose a cumulative global economic cost exceeding 100 trillion United States dollars, disproportionately devastating low- and middle-income countries (Laxminarayan et al., 2013; Cassini et al., 2019). In response to this crisis, the World Health Organization (WHO), the Food and Agriculture Organization of the United Nations (FAO), and the World Organisation for Animal Health (WOAH) have jointly advocated for a One Health approach, an integrated, transdisciplinary framework that recognizes the shared determinants of health across humans, animals, and the environment, and calls for coordinated surveillance, research, and policy action across all three domains.</w:t>
      </w:r>
    </w:p>
    <w:p>
      <w:pPr>
        <w:spacing w:before="0" w:after="120" w:line="480" w:lineRule="auto"/>
        <w:jc w:val="both"/>
      </w:pPr>
      <w:r>
        <w:rPr>
          <w:rFonts w:ascii="Times New Roman" w:hAnsi="Times New Roman"/>
          <w:b w:val="0"/>
          <w:i w:val="0"/>
          <w:sz w:val="24"/>
        </w:rPr>
        <w:t>A central tenet of the One Health perspective on AMR is the recognition that antibiotic use in food animal production constitutes a significant driver of resistance emergence and dissemination, with consequences that extend far beyond veterinary medicine into human clinical care and environmental health. Global antimicrobial consumption in food animals was estimated at over 63,000 tonnes in 2010 and was projected to increase by approximately 67% by 2030, driven primarily by the rapid expansion of intensive livestock production in Asia, Sub-Saharan Africa, and Latin America to meet escalating global demand for animal-source foods (Van Boeckel et al., 2015; Tiseo et al., 2020). Tilman et al. (2011) projected that global food demand would nearly double by 2050, with animal protein consumption increasing proportionately as middle-income populations expanded. Poultry farming, in particular, has experienced dramatic growth in production intensity and geographic spread, given its relatively short production cycles, lower land requirements, and cultural acceptability across diverse populations. In Nigeria, commercial poultry production is a major component of the livestock sector, contributing substantially to national animal protein supply and serving as a source of livelihood for millions of smallholder farmers, vendors, and market traders.</w:t>
      </w:r>
    </w:p>
    <w:p>
      <w:pPr>
        <w:spacing w:before="0" w:after="120" w:line="480" w:lineRule="auto"/>
        <w:jc w:val="both"/>
      </w:pPr>
      <w:r>
        <w:rPr>
          <w:rFonts w:ascii="Times New Roman" w:hAnsi="Times New Roman"/>
          <w:b w:val="0"/>
          <w:i w:val="0"/>
          <w:sz w:val="24"/>
        </w:rPr>
        <w:t>Within commercial poultry operations, antibiotics are routinely administered to flocks for the treatment and prophylaxis of bacterial diseases, including colibacillosis, mycoplasmosis, and coccidiosis-associated secondary bacterial infections. In settings with limited veterinary oversight, including many smallholder and semi-commercial operations common across Nigeria, antibiotics are additionally used at sub-therapeutic doses as growth promoters, providing sustained selective pressure on the intestinal microbiota of broilers and layers (Oluwasile et al., 2014). A survey of antibiotic usage patterns in poultry farms in South-West Nigeria reported that tetracyclines, fluoroquinolones, and sulfonamides, all classified as critically or highly important antimicrobials for human medicine by the WHO, were among the most frequently used agents, often without veterinary prescription and at dosages inconsistent with manufacturer recommendations (Oluwasile et al., 2014; Adesokan et al., 2015). Such indiscriminate use perpetuates the selective environment in which resistant bacterial populations thrive and accumulate resistance genes that can be transmitted to other bacteria and eventually to human-associated microbiota (Hedman et al., 2020; Van Boeckel et al., 2015).</w:t>
      </w:r>
    </w:p>
    <w:p>
      <w:pPr>
        <w:spacing w:before="0" w:after="120" w:line="480" w:lineRule="auto"/>
        <w:jc w:val="both"/>
      </w:pPr>
      <w:r>
        <w:rPr>
          <w:rFonts w:ascii="Times New Roman" w:hAnsi="Times New Roman"/>
          <w:b w:val="0"/>
          <w:i w:val="0"/>
          <w:sz w:val="24"/>
        </w:rPr>
        <w:t>Poultry manure is a critical link in the transmission of AMR from the agricultural production environment to human communities and the broader ecosystem. Commercial poultry litter is a complex biological matrix comprising fecal bacteria, unmetabolized and conjugated antibiotic residues, heavy metals from feed additives, and a diverse array of ARGs and mobile genetic elements (MGEs) (Kyakuwaire et al., 2019). The land application of poultry and livestock manure as organic fertilizer, a widespread practice in both large-scale agriculture and domestic horticulture, has been demonstrated to significantly augment the abundance of antibiotic-resistant bacteria and the detection frequency of ARGs in agricultural soils (Marti et al., 2013). Crucially, Heuer et al. (2011) demonstrated that manure application promotes the establishment and persistence of integron-associated ARGs in soil microbial communities, enabling horizontal gene transfer (HGT) to indigenous soil bacteria long after the initial manure application event. This underscores the role of poultry litter not merely as a transient source of ARB, but as a persistent reservoir of genetic determinants capable of reshaping the AMR landscape of the agricultural environment.</w:t>
      </w:r>
    </w:p>
    <w:p>
      <w:pPr>
        <w:spacing w:before="0" w:after="120" w:line="480" w:lineRule="auto"/>
        <w:jc w:val="both"/>
      </w:pPr>
      <w:r>
        <w:rPr>
          <w:rFonts w:ascii="Times New Roman" w:hAnsi="Times New Roman"/>
          <w:b w:val="0"/>
          <w:i/>
          <w:sz w:val="24"/>
        </w:rPr>
        <w:t>Escherichia coli</w:t>
      </w:r>
      <w:r>
        <w:rPr>
          <w:rFonts w:ascii="Times New Roman" w:hAnsi="Times New Roman"/>
          <w:b w:val="0"/>
          <w:i w:val="0"/>
          <w:sz w:val="24"/>
        </w:rPr>
        <w:t xml:space="preserve"> occupies a uniquely important role in the epidemiology and surveillance of AMR in the food-animal sector. As a highly prevalent commensal of the gastrointestinal tracts of warm-blooded animals and humans, E. coli is universally present in fecal material and is readily transmitted through fecal contamination of food, water, soil, and environmental surfaces. E. coli possesses exceptional genetic plasticity, making it a highly efficient recipient and donor of resistance determinants via plasmid-mediated conjugation, transduction, and transformation (Robins-Browne &amp; Hartland, 2002). The accumulation of resistance to multiple clinically relevant antibiotic classes, including cephalosporins, fluoroquinolones, aminoglycosides, and sulfonamides, has been well documented in E. coli populations associated with commercial poultry in diverse geographic settings (Doyle &amp; Erickson, 2015). In Nigeria, MDR E. coli has been consistently reported from poultry and associated environments. Studies in veterinary settings have highlighted significant gaps in antimicrobial stewardship knowledge among Nigerian veterinarians, contributing to inappropriate antibiotic prescription and the perpetuation of resistant bacterial populations (Aworh et al., 2021). In Zaria specifically, Ejeh et al. (2017) documented multiple antimicrobial resistance in E. coli and Salmonella species isolated from broilers and local chickens sold along roadsides, with MAR indices exceeding 0.2 in the majority of isolates, signalling extensive prior antibiotic exposure. These findings establish a local precedent for MDR E. coli in the Zaria poultry marketing chain, but do not extend to the characterization of mobile genetic elements as drivers of resistance.</w:t>
      </w:r>
    </w:p>
    <w:p>
      <w:pPr>
        <w:spacing w:before="0" w:after="120" w:line="480" w:lineRule="auto"/>
        <w:jc w:val="both"/>
      </w:pPr>
      <w:r>
        <w:rPr>
          <w:rFonts w:ascii="Times New Roman" w:hAnsi="Times New Roman"/>
          <w:b w:val="0"/>
          <w:i w:val="0"/>
          <w:sz w:val="24"/>
        </w:rPr>
        <w:t>The molecular basis of multidrug resistance in E. coli from poultry environments is frequently attributable to the acquisition of ARGs carried on MGEs, among which integrons are of particular significance. Integrons are site-specific recombination systems that function as natural gene capture and expression platforms, capable of integrating multiple resistance gene cassettes at their attI site and expressing them from a Pc promoter (Fonseca et al., 2005). Class 1 integrons are the most widely distributed among clinical and veterinary isolates globally, with high prevalence in E. coli from poultry, livestock, and human sources, and are strongly associated with MDR phenotypes including co-resistance to aminoglycosides, trimethoprim, antiseptics, and sulfonamides (Heuer et al., 2011). Class 2 integrons, though less prevalent, carry a distinct set of resistance cassettes, notably genes conferring resistance to aminoglycosides and trimethoprim, and have been characterized in E. coli of avian and environmental origin (Goldstein et al., 2001). The co-occurrence of Class 1 and Class 2 integrons within the same isolate or bacterial community implies a highly efficient molecular architecture for the horizontal mobilization of multi-drug resistance determinants across species and genera, amplifying the public health risk associated with ARB in poultry manure (Fonseca et al., 2005; Goldstein et al., 2001).</w:t>
      </w:r>
    </w:p>
    <w:p>
      <w:pPr>
        <w:spacing w:before="0" w:after="120" w:line="480" w:lineRule="auto"/>
        <w:jc w:val="both"/>
      </w:pPr>
      <w:r>
        <w:rPr>
          <w:rFonts w:ascii="Times New Roman" w:hAnsi="Times New Roman"/>
          <w:b w:val="0"/>
          <w:i w:val="0"/>
          <w:sz w:val="24"/>
        </w:rPr>
        <w:t>Despite the recognized importance of integrons as drivers of MDR in poultry-associated E. coli, and the established AMR risk posed by vendor-traded poultry manure in urban settings, there are no documented studies that have specifically characterized the prevalence of Class 1 and Class 2 integrons in MDR E. coli isolated from commercial poultry manure obtained from vendors in Zaria Metropolis. This gap represents a significant deficiency in the AMR baseline data available for North-West Nigeria and precludes an accurate assessment of the public health risk associated with the informal trade in poultry litter in the region.</w:t>
      </w:r>
    </w:p>
    <w:p>
      <w:pPr>
        <w:pStyle w:val="Heading3"/>
        <w:spacing w:before="120" w:after="60" w:line="480" w:lineRule="auto"/>
        <w:jc w:val="left"/>
      </w:pPr>
      <w:r>
        <w:rPr>
          <w:rFonts w:ascii="Times New Roman" w:hAnsi="Times New Roman"/>
          <w:b/>
          <w:i w:val="0"/>
          <w:color w:val="000000"/>
          <w:sz w:val="24"/>
        </w:rPr>
        <w:t>1.2 Statement of the Problem</w:t>
      </w:r>
    </w:p>
    <w:p>
      <w:pPr>
        <w:spacing w:before="0" w:after="120" w:line="480" w:lineRule="auto"/>
        <w:jc w:val="both"/>
      </w:pPr>
      <w:r>
        <w:rPr>
          <w:rFonts w:ascii="Times New Roman" w:hAnsi="Times New Roman"/>
          <w:b w:val="0"/>
          <w:i w:val="0"/>
          <w:sz w:val="24"/>
        </w:rPr>
        <w:t>Antimicrobial resistance has been elevated to the status of a global public health crisis, driven in part by the extensive and often inappropriate use of antibiotics in commercial food animal production. Within the Nigerian poultry sector, antibiotics of critical importance to human medicine, including fluoroquinolones, tetracyclines, sulfonamides, and aminoglycosides, are routinely used for therapeutic and prophylactic purposes, frequently without veterinary oversight and at dosages that may be suboptimal for disease control but optimal for the selection of resistant bacterial populations (Oluwasile et al., 2014). The consequences of this practice are manifest in the poultry gastrointestinal microbiota, which becomes enriched with MDR bacteria, and in the manure generated by these flocks, which retains the ARB, ARGs, and MGEs selected during antibiotic exposure (Kyakuwaire et al., 2019; Heuer et al., 2011). When this manure enters commercial markets for sale as organic fertilizer, it carries with it a substantial AMR burden that is then redistributed into the urban environment through the activities of vendors, agricultural workers, and smallholder farmers.</w:t>
      </w:r>
    </w:p>
    <w:p>
      <w:pPr>
        <w:spacing w:before="0" w:after="120" w:line="480" w:lineRule="auto"/>
        <w:jc w:val="both"/>
      </w:pPr>
      <w:r>
        <w:rPr>
          <w:rFonts w:ascii="Times New Roman" w:hAnsi="Times New Roman"/>
          <w:b w:val="0"/>
          <w:i w:val="0"/>
          <w:sz w:val="24"/>
        </w:rPr>
        <w:t>In Zaria Metropolis, informal vendor markets for commercial poultry manure represent a poorly regulated but widely utilized component of the urban agricultural supply chain. Vendors collect, store, and sell poultry litter from commercial broiler operations, often under conditions that facilitate the survival and proliferation of ARB. The manure is widely applied to domestic gardens, vegetable plots, and smallholder farms within the urban and peri-urban areas of Zaria and Sabon Gari Local Government Areas. These patterns of use create multiple pathways through which MDR E. coli in poultry litter can enter the human food chain, through contamination of vegetables and crops, through contamination of shallow groundwater sources, and through direct contact with agricultural workers and consumers who handle the manure or the produce grown with it (Marti et al., 2013; Heuer et al., 2011). Market traders and manure handlers themselves represent a high-risk group for colonization and infection with MDR organisms through occupational exposure.</w:t>
      </w:r>
    </w:p>
    <w:p>
      <w:pPr>
        <w:spacing w:before="0" w:after="120" w:line="480" w:lineRule="auto"/>
        <w:jc w:val="both"/>
      </w:pPr>
      <w:r>
        <w:rPr>
          <w:rFonts w:ascii="Times New Roman" w:hAnsi="Times New Roman"/>
          <w:b w:val="0"/>
          <w:i w:val="0"/>
          <w:sz w:val="24"/>
        </w:rPr>
        <w:t>A particularly concerning dimension of this problem is the role of integrons, specifically Class 1 and Class 2 integrons, in consolidating and disseminating multiple resistance determinants within E. coli populations. Unlike simple point mutations or single resistance gene acquisitions, integrons enable bacteria to simultaneously capture several distinct ARGs, making the acquisition of extensive MDR a single-step event in evolutionary terms (Fonseca et al., 2005). The presence of integron-bearing MDR E. coli in poultry manure thus signals not only the current antibiotic resistance burden of the litter but also its potential to actively propagate resistance into the broader environmental microbiome through horizontal gene transfer (Heuer et al., 2011; Goldstein et al., 2001). The detection of Class 2 integrons is of additional concern, as these elements carry cassettes conferring resistance to aminoglycosides, agents that are critical for the treatment of severe sepsis and multi-resistant Gram-negative infections in both veterinary and human clinical settings.</w:t>
      </w:r>
    </w:p>
    <w:p>
      <w:pPr>
        <w:spacing w:before="0" w:after="120" w:line="480" w:lineRule="auto"/>
        <w:jc w:val="both"/>
      </w:pPr>
      <w:r>
        <w:rPr>
          <w:rFonts w:ascii="Times New Roman" w:hAnsi="Times New Roman"/>
          <w:b w:val="0"/>
          <w:i w:val="0"/>
          <w:sz w:val="24"/>
        </w:rPr>
        <w:t>Previous work in Zaria documented MDR in E. coli from roadside poultry vendors, establishing that resistant E. coli are present in the local poultry marketing chain (Ejeh et al., 2017). However, no study has examined commercial poultry manure sold by vendors as a distinct commodity and exposure pathway, and the molecular characterization of resistance in terms of integron carriage has not been undertaken. Without systematic data on the prevalence of integron-bearing MDR E. coli in vendor-sourced litter, it is impossible to quantify the AMR risk to the Zaria urban population from this source, to identify the antibiotic classes most urgently in need of stewardship intervention in the local poultry sector, or to support evidence-based policy for the regulation of the manure trade. The present study was designed to address these specific knowledge gaps.</w:t>
      </w:r>
    </w:p>
    <w:p>
      <w:pPr>
        <w:pStyle w:val="Heading3"/>
        <w:spacing w:before="120" w:after="60" w:line="480" w:lineRule="auto"/>
        <w:jc w:val="left"/>
      </w:pPr>
      <w:r>
        <w:rPr>
          <w:rFonts w:ascii="Times New Roman" w:hAnsi="Times New Roman"/>
          <w:b/>
          <w:i w:val="0"/>
          <w:color w:val="000000"/>
          <w:sz w:val="24"/>
        </w:rPr>
        <w:t>1.3 Justification of the Study</w:t>
      </w:r>
    </w:p>
    <w:p>
      <w:pPr>
        <w:spacing w:before="0" w:after="120" w:line="480" w:lineRule="auto"/>
        <w:jc w:val="both"/>
      </w:pPr>
      <w:r>
        <w:rPr>
          <w:rFonts w:ascii="Times New Roman" w:hAnsi="Times New Roman"/>
          <w:b w:val="0"/>
          <w:i w:val="0"/>
          <w:sz w:val="24"/>
        </w:rPr>
        <w:t>The present study is justified on scientific, public health, veterinary, and policy grounds, each of which independently warrants the systematic investigation of MDR E. coli and integron carriage in poultry manure from vendors in Zaria Metropolis.</w:t>
      </w:r>
    </w:p>
    <w:p>
      <w:pPr>
        <w:spacing w:before="0" w:after="120" w:line="480" w:lineRule="auto"/>
        <w:jc w:val="both"/>
      </w:pPr>
      <w:r>
        <w:rPr>
          <w:rFonts w:ascii="Times New Roman" w:hAnsi="Times New Roman"/>
          <w:b/>
          <w:i w:val="0"/>
          <w:sz w:val="24"/>
        </w:rPr>
        <w:t>Scientific justification.</w:t>
      </w:r>
      <w:r>
        <w:rPr>
          <w:rFonts w:ascii="Times New Roman" w:hAnsi="Times New Roman"/>
          <w:b w:val="0"/>
          <w:i w:val="0"/>
          <w:sz w:val="24"/>
        </w:rPr>
        <w:t xml:space="preserve"> Integrons are among the most important molecular mechanisms driving the rapid evolution and horizontal dissemination of AMR in Gram-negative bacteria. Their capacity to capture multiple resistance gene cassettes simultaneously, and to transfer these cassettes between bacteria via plasmid-borne or chromosomally integrated structures, makes them qualitatively more dangerous than single-gene resistance mechanisms (Fonseca et al., 2005; Goldstein et al., 2001). Characterizing the prevalence of Class 1 and Class 2 integrons in environmental E. coli from a vendor market setting generates data on the molecular infrastructure of AMR in a hitherto unstudied niche of the North-West Nigerian agricultural environment. This contributes to the global body of literature on integron ecology and AMR gene mobilization in livestock-associated settings and provides a foundation for future molecular epidemiological investigations, including the characterization of specific gene cassette arrays and comparative genomic analyses of environmental E. coli lineages.</w:t>
      </w:r>
    </w:p>
    <w:p>
      <w:pPr>
        <w:spacing w:before="0" w:after="120" w:line="480" w:lineRule="auto"/>
        <w:jc w:val="both"/>
      </w:pPr>
      <w:r>
        <w:rPr>
          <w:rFonts w:ascii="Times New Roman" w:hAnsi="Times New Roman"/>
          <w:b/>
          <w:i w:val="0"/>
          <w:sz w:val="24"/>
        </w:rPr>
        <w:t>Public health justification.</w:t>
      </w:r>
      <w:r>
        <w:rPr>
          <w:rFonts w:ascii="Times New Roman" w:hAnsi="Times New Roman"/>
          <w:b w:val="0"/>
          <w:i w:val="0"/>
          <w:sz w:val="24"/>
        </w:rPr>
        <w:t xml:space="preserve"> The direct public health relevance of this study stems from the urban distribution of vendor-supplied poultry manure into domestic and smallholder agricultural settings. Vegetables and crops grown with manure contaminated by integron-bearing MDR E. coli present a potential route for the transmission of MDR organisms to human consumers, particularly when produce is consumed raw or minimally processed (Marti et al., 2013). Nigeria, with its high burden of infectious disease, limited clinical microbiological capacity, and growing antibiotic resistance problem, cannot afford to overlook non-clinical AMR reservoirs that amplify and disperse resistance determinants in the community setting. The findings of this study will provide an evidence base for public health risk assessments and for targeted educational interventions aimed at manure vendors, agricultural workers, and smallholder farmers in the Zaria metropolis.</w:t>
      </w:r>
    </w:p>
    <w:p>
      <w:pPr>
        <w:spacing w:before="0" w:after="120" w:line="480" w:lineRule="auto"/>
        <w:jc w:val="both"/>
      </w:pPr>
      <w:r>
        <w:rPr>
          <w:rFonts w:ascii="Times New Roman" w:hAnsi="Times New Roman"/>
          <w:b/>
          <w:i w:val="0"/>
          <w:sz w:val="24"/>
        </w:rPr>
        <w:t>One Health justification.</w:t>
      </w:r>
      <w:r>
        <w:rPr>
          <w:rFonts w:ascii="Times New Roman" w:hAnsi="Times New Roman"/>
          <w:b w:val="0"/>
          <w:i w:val="0"/>
          <w:sz w:val="24"/>
        </w:rPr>
        <w:t xml:space="preserve"> The One Health approach, endorsed globally by WHO, FAO, and WOAH, places the intersection of animal health, human health, and environmental health at the centre of AMR surveillance and control. Poultry manure vendor markets sit precisely at this intersection, they are generated by commercial animal production, handled and distributed by human actors, and ultimately applied to the shared environment. Studies that examine AMR at this interface are paradigmatic One Health investigations, and their findings contribute directly to the integrated AMR surveillance architecture that national and international health authorities are seeking to build. This study provides empirical data from a vendor market setting that can be incorporated into Nigeria's national AMR action plan and into regional One Health AMR surveillance frameworks for West Africa.</w:t>
      </w:r>
    </w:p>
    <w:p>
      <w:pPr>
        <w:spacing w:before="0" w:after="120" w:line="480" w:lineRule="auto"/>
        <w:jc w:val="both"/>
      </w:pPr>
      <w:r>
        <w:rPr>
          <w:rFonts w:ascii="Times New Roman" w:hAnsi="Times New Roman"/>
          <w:b/>
          <w:i w:val="0"/>
          <w:sz w:val="24"/>
        </w:rPr>
        <w:t>Veterinary justification.</w:t>
      </w:r>
      <w:r>
        <w:rPr>
          <w:rFonts w:ascii="Times New Roman" w:hAnsi="Times New Roman"/>
          <w:b w:val="0"/>
          <w:i w:val="0"/>
          <w:sz w:val="24"/>
        </w:rPr>
        <w:t xml:space="preserve"> The antimicrobial resistance profiles of E. coli in vendor-sourced poultry manure reflect the antibiotic use history of the commercial flocks from which the litter was derived. Documenting these profiles thus serves as a proxy for monitoring AMR trends in commercial poultry operations in the Zaria area, without the logistical challenges of direct farm-level sampling (Hedman et al., 2020; Doyle &amp; Erickson, 2015). The findings can be used to identify the antibiotic classes most urgently in need of stewardship interventions in the local poultry sector, to advise practising veterinarians on antibiotic prescribing priorities, and to inform the development of regional antibiotic use guidelines consistent with CLSI recommendations. The study also provides an impetus for reviewing the regulatory framework governing antibiotic availability and use in Nigerian commercial poultry production.</w:t>
      </w:r>
    </w:p>
    <w:p>
      <w:pPr>
        <w:spacing w:before="0" w:after="120" w:line="480" w:lineRule="auto"/>
        <w:jc w:val="both"/>
      </w:pPr>
      <w:r>
        <w:rPr>
          <w:rFonts w:ascii="Times New Roman" w:hAnsi="Times New Roman"/>
          <w:b/>
          <w:i w:val="0"/>
          <w:sz w:val="24"/>
        </w:rPr>
        <w:t>Policy justification.</w:t>
      </w:r>
      <w:r>
        <w:rPr>
          <w:rFonts w:ascii="Times New Roman" w:hAnsi="Times New Roman"/>
          <w:b w:val="0"/>
          <w:i w:val="0"/>
          <w:sz w:val="24"/>
        </w:rPr>
        <w:t xml:space="preserve"> There are currently no standardized biosafety or AMR testing requirements for commercial poultry manure sold at informal vendor markets in Nigeria. The documentation of high-level multidrug resistance and integron carriage in vendor-sourced litter would provide compelling scientific grounds for the establishment of regulatory standards for the trade, handling, and land application of poultry manure in urban settings, and for the inclusion of poultry environmental samples in Nigeria's national AMR surveillance programme. By generating locally derived, peer-reviewed baseline data, this study positions North-West Nigeria to engage meaningfully with the national and global AMR policy discourse.</w:t>
      </w:r>
    </w:p>
    <w:p>
      <w:pPr>
        <w:pStyle w:val="Heading3"/>
        <w:spacing w:before="120" w:after="60" w:line="480" w:lineRule="auto"/>
        <w:jc w:val="left"/>
      </w:pPr>
      <w:r>
        <w:rPr>
          <w:rFonts w:ascii="Times New Roman" w:hAnsi="Times New Roman"/>
          <w:b/>
          <w:i w:val="0"/>
          <w:color w:val="000000"/>
          <w:sz w:val="24"/>
        </w:rPr>
        <w:t>1.4 Aim of the Study</w:t>
      </w:r>
    </w:p>
    <w:p>
      <w:pPr>
        <w:spacing w:before="0" w:after="120" w:line="480" w:lineRule="auto"/>
        <w:jc w:val="both"/>
      </w:pPr>
      <w:r>
        <w:rPr>
          <w:rFonts w:ascii="Times New Roman" w:hAnsi="Times New Roman"/>
          <w:b w:val="0"/>
          <w:i w:val="0"/>
          <w:sz w:val="24"/>
        </w:rPr>
        <w:t xml:space="preserve">The aim of this study was to investigate the role of poultry manure from vendors in the dissemination of multidrug-resistant </w:t>
      </w:r>
      <w:r>
        <w:rPr>
          <w:rFonts w:ascii="Times New Roman" w:hAnsi="Times New Roman"/>
          <w:b w:val="0"/>
          <w:i/>
          <w:sz w:val="24"/>
        </w:rPr>
        <w:t>Escherichia coli</w:t>
      </w:r>
      <w:r>
        <w:rPr>
          <w:rFonts w:ascii="Times New Roman" w:hAnsi="Times New Roman"/>
          <w:b w:val="0"/>
          <w:i w:val="0"/>
          <w:sz w:val="24"/>
        </w:rPr>
        <w:t xml:space="preserve"> bearing Class I and Class II integrons in Zaria Metropolis, Nigeria.</w:t>
      </w:r>
    </w:p>
    <w:p>
      <w:pPr>
        <w:pStyle w:val="Heading3"/>
        <w:spacing w:before="120" w:after="60" w:line="480" w:lineRule="auto"/>
        <w:jc w:val="left"/>
      </w:pPr>
      <w:r>
        <w:rPr>
          <w:rFonts w:ascii="Times New Roman" w:hAnsi="Times New Roman"/>
          <w:b/>
          <w:i w:val="0"/>
          <w:color w:val="000000"/>
          <w:sz w:val="24"/>
        </w:rPr>
        <w:t>1.5 Objectives of the Study</w:t>
      </w:r>
    </w:p>
    <w:p>
      <w:pPr>
        <w:spacing w:before="0" w:after="120" w:line="480" w:lineRule="auto"/>
        <w:jc w:val="both"/>
      </w:pPr>
      <w:r>
        <w:rPr>
          <w:rFonts w:ascii="Times New Roman" w:hAnsi="Times New Roman"/>
          <w:b w:val="0"/>
          <w:i w:val="0"/>
          <w:sz w:val="24"/>
        </w:rPr>
        <w:t>The specific objectives of this study were to:</w:t>
      </w:r>
    </w:p>
    <w:p>
      <w:pPr>
        <w:pStyle w:val="ListNumber"/>
        <w:spacing w:before="40" w:after="40" w:line="240" w:lineRule="auto"/>
        <w:jc w:val="both"/>
      </w:pPr>
      <w:r>
        <w:rPr>
          <w:rFonts w:ascii="Times New Roman" w:hAnsi="Times New Roman"/>
          <w:b w:val="0"/>
          <w:i w:val="0"/>
          <w:sz w:val="24"/>
        </w:rPr>
        <w:t xml:space="preserve">Isolate antimicrobial resistant </w:t>
      </w:r>
      <w:r>
        <w:rPr>
          <w:rFonts w:ascii="Times New Roman" w:hAnsi="Times New Roman"/>
          <w:b w:val="0"/>
          <w:i/>
          <w:sz w:val="24"/>
        </w:rPr>
        <w:t>Escherichia coli</w:t>
      </w:r>
      <w:r>
        <w:rPr>
          <w:rFonts w:ascii="Times New Roman" w:hAnsi="Times New Roman"/>
          <w:b w:val="0"/>
          <w:i w:val="0"/>
          <w:sz w:val="24"/>
        </w:rPr>
        <w:t xml:space="preserve"> from commercial poultry manure obtained from vendors in Zaria.</w:t>
      </w:r>
    </w:p>
    <w:p>
      <w:pPr>
        <w:pStyle w:val="ListNumber"/>
        <w:spacing w:before="40" w:after="40" w:line="240" w:lineRule="auto"/>
        <w:jc w:val="both"/>
      </w:pPr>
      <w:r>
        <w:rPr>
          <w:rFonts w:ascii="Times New Roman" w:hAnsi="Times New Roman"/>
          <w:b w:val="0"/>
          <w:i w:val="0"/>
          <w:sz w:val="24"/>
        </w:rPr>
        <w:t xml:space="preserve">Determine the proportion of </w:t>
      </w:r>
      <w:r>
        <w:rPr>
          <w:rFonts w:ascii="Times New Roman" w:hAnsi="Times New Roman"/>
          <w:b w:val="0"/>
          <w:i/>
          <w:sz w:val="24"/>
        </w:rPr>
        <w:t>E. coli</w:t>
      </w:r>
      <w:r>
        <w:rPr>
          <w:rFonts w:ascii="Times New Roman" w:hAnsi="Times New Roman"/>
          <w:b w:val="0"/>
          <w:i w:val="0"/>
          <w:sz w:val="24"/>
        </w:rPr>
        <w:t xml:space="preserve"> isolates that are multidrug resistant.</w:t>
      </w:r>
    </w:p>
    <w:p>
      <w:pPr>
        <w:pStyle w:val="ListNumber"/>
        <w:spacing w:before="40" w:after="40" w:line="240" w:lineRule="auto"/>
        <w:jc w:val="both"/>
      </w:pPr>
      <w:r>
        <w:rPr>
          <w:rFonts w:ascii="Times New Roman" w:hAnsi="Times New Roman"/>
          <w:b w:val="0"/>
          <w:i w:val="0"/>
          <w:sz w:val="24"/>
        </w:rPr>
        <w:t xml:space="preserve">Detect the presence of Class I and Class II integrons in the multidrug-resistant </w:t>
      </w:r>
      <w:r>
        <w:rPr>
          <w:rFonts w:ascii="Times New Roman" w:hAnsi="Times New Roman"/>
          <w:b w:val="0"/>
          <w:i/>
          <w:sz w:val="24"/>
        </w:rPr>
        <w:t>E. coli</w:t>
      </w:r>
      <w:r>
        <w:rPr>
          <w:rFonts w:ascii="Times New Roman" w:hAnsi="Times New Roman"/>
          <w:b w:val="0"/>
          <w:i w:val="0"/>
          <w:sz w:val="24"/>
        </w:rPr>
        <w:t xml:space="preserve"> isolates.</w:t>
      </w:r>
    </w:p>
    <w:p>
      <w:pPr>
        <w:pStyle w:val="Heading3"/>
        <w:spacing w:before="120" w:after="60" w:line="480" w:lineRule="auto"/>
        <w:jc w:val="left"/>
      </w:pPr>
      <w:r>
        <w:rPr>
          <w:rFonts w:ascii="Times New Roman" w:hAnsi="Times New Roman"/>
          <w:b/>
          <w:i w:val="0"/>
          <w:color w:val="000000"/>
          <w:sz w:val="24"/>
        </w:rPr>
        <w:t>1.6 Research Questions</w:t>
      </w:r>
    </w:p>
    <w:p>
      <w:pPr>
        <w:spacing w:before="0" w:after="120" w:line="480" w:lineRule="auto"/>
        <w:jc w:val="both"/>
      </w:pPr>
      <w:r>
        <w:rPr>
          <w:rFonts w:ascii="Times New Roman" w:hAnsi="Times New Roman"/>
          <w:b w:val="0"/>
          <w:i w:val="0"/>
          <w:sz w:val="24"/>
        </w:rPr>
        <w:t>The following research questions guided the study:</w:t>
      </w:r>
    </w:p>
    <w:p>
      <w:pPr>
        <w:pStyle w:val="ListNumber"/>
        <w:spacing w:before="40" w:after="40" w:line="240" w:lineRule="auto"/>
        <w:jc w:val="both"/>
      </w:pPr>
      <w:r>
        <w:rPr>
          <w:rFonts w:ascii="Times New Roman" w:hAnsi="Times New Roman"/>
          <w:b w:val="0"/>
          <w:i w:val="0"/>
          <w:sz w:val="24"/>
        </w:rPr>
        <w:t xml:space="preserve">How common are antimicrobial resistant </w:t>
      </w:r>
      <w:r>
        <w:rPr>
          <w:rFonts w:ascii="Times New Roman" w:hAnsi="Times New Roman"/>
          <w:b w:val="0"/>
          <w:i/>
          <w:sz w:val="24"/>
        </w:rPr>
        <w:t>Escherichia coli</w:t>
      </w:r>
      <w:r>
        <w:rPr>
          <w:rFonts w:ascii="Times New Roman" w:hAnsi="Times New Roman"/>
          <w:b w:val="0"/>
          <w:i w:val="0"/>
          <w:sz w:val="24"/>
        </w:rPr>
        <w:t xml:space="preserve"> in commercial poultry manure obtained from vendors in Zaria?</w:t>
      </w:r>
    </w:p>
    <w:p>
      <w:pPr>
        <w:pStyle w:val="ListNumber"/>
        <w:spacing w:before="40" w:after="40" w:line="240" w:lineRule="auto"/>
        <w:jc w:val="both"/>
      </w:pPr>
      <w:r>
        <w:rPr>
          <w:rFonts w:ascii="Times New Roman" w:hAnsi="Times New Roman"/>
          <w:b w:val="0"/>
          <w:i w:val="0"/>
          <w:sz w:val="24"/>
        </w:rPr>
        <w:t xml:space="preserve">What proportion of the antimicrobial resistant </w:t>
      </w:r>
      <w:r>
        <w:rPr>
          <w:rFonts w:ascii="Times New Roman" w:hAnsi="Times New Roman"/>
          <w:b w:val="0"/>
          <w:i/>
          <w:sz w:val="24"/>
        </w:rPr>
        <w:t>E. coli</w:t>
      </w:r>
      <w:r>
        <w:rPr>
          <w:rFonts w:ascii="Times New Roman" w:hAnsi="Times New Roman"/>
          <w:b w:val="0"/>
          <w:i w:val="0"/>
          <w:sz w:val="24"/>
        </w:rPr>
        <w:t xml:space="preserve"> isolates are multidrug resistant?</w:t>
      </w:r>
    </w:p>
    <w:p>
      <w:pPr>
        <w:pStyle w:val="ListNumber"/>
        <w:spacing w:before="40" w:after="40" w:line="240" w:lineRule="auto"/>
        <w:jc w:val="both"/>
      </w:pPr>
      <w:r>
        <w:rPr>
          <w:rFonts w:ascii="Times New Roman" w:hAnsi="Times New Roman"/>
          <w:b w:val="0"/>
          <w:i w:val="0"/>
          <w:sz w:val="24"/>
        </w:rPr>
        <w:t xml:space="preserve">Are the multidrug-resistant </w:t>
      </w:r>
      <w:r>
        <w:rPr>
          <w:rFonts w:ascii="Times New Roman" w:hAnsi="Times New Roman"/>
          <w:b w:val="0"/>
          <w:i/>
          <w:sz w:val="24"/>
        </w:rPr>
        <w:t>E. coli</w:t>
      </w:r>
      <w:r>
        <w:rPr>
          <w:rFonts w:ascii="Times New Roman" w:hAnsi="Times New Roman"/>
          <w:b w:val="0"/>
          <w:i w:val="0"/>
          <w:sz w:val="24"/>
        </w:rPr>
        <w:t xml:space="preserve"> in poultry manure from vendors in Zaria harbouring Class I and Class II integrons?</w:t>
      </w:r>
    </w:p>
    <w:p>
      <w:pPr>
        <w:pStyle w:val="Heading3"/>
        <w:spacing w:before="120" w:after="60" w:line="480" w:lineRule="auto"/>
        <w:jc w:val="left"/>
      </w:pPr>
      <w:r>
        <w:rPr>
          <w:rFonts w:ascii="Times New Roman" w:hAnsi="Times New Roman"/>
          <w:b/>
          <w:i w:val="0"/>
          <w:color w:val="000000"/>
          <w:sz w:val="24"/>
        </w:rPr>
        <w:t>1.7 Scope of the Study</w:t>
      </w:r>
    </w:p>
    <w:p>
      <w:pPr>
        <w:spacing w:before="0" w:after="120" w:line="480" w:lineRule="auto"/>
        <w:jc w:val="both"/>
      </w:pPr>
      <w:r>
        <w:rPr>
          <w:rFonts w:ascii="Times New Roman" w:hAnsi="Times New Roman"/>
          <w:b w:val="0"/>
          <w:i w:val="0"/>
          <w:sz w:val="24"/>
        </w:rPr>
        <w:t xml:space="preserve">This study was geographically delimited to Zaria Metropolis, encompassing Zaria and Sabon Gari Local Government Areas, Kaduna State, North-West Nigeria. A total of eight designated commercial poultry manure vendor locations were sampled across the metropolis. The microbiological focus was exclusively </w:t>
      </w:r>
      <w:r>
        <w:rPr>
          <w:rFonts w:ascii="Times New Roman" w:hAnsi="Times New Roman"/>
          <w:b w:val="0"/>
          <w:i/>
          <w:sz w:val="24"/>
        </w:rPr>
        <w:t>Escherichia coli</w:t>
      </w:r>
      <w:r>
        <w:rPr>
          <w:rFonts w:ascii="Times New Roman" w:hAnsi="Times New Roman"/>
          <w:b w:val="0"/>
          <w:i w:val="0"/>
          <w:sz w:val="24"/>
        </w:rPr>
        <w:t>, isolated from commercial poultry manure samples. Antimicrobial susceptibility was assessed against ten antibiotic discs representing the principal antibiotic classes used in veterinary and human medicine, in accordance with the Clinical and Laboratory Standards Institute (CLSI, 2024) guidelines. Multidrug resistance status was quantified using the Multiple Antibiotic Resistance (MAR) index. Molecular investigations were restricted to the detection of Class I and Class II integrons by conventional polymerase chain reaction (PCR). The study did not include whole-genome sequencing, characterization of specific integron gene cassette arrays, carbapenemase gene detection, or sampling from within poultry farms, live-bird retail markets, human clinical populations, or the soil environment.</w:t>
      </w:r>
    </w:p>
    <w:p>
      <w:pPr>
        <w:pStyle w:val="Heading3"/>
        <w:spacing w:before="120" w:after="60" w:line="480" w:lineRule="auto"/>
        <w:jc w:val="left"/>
      </w:pPr>
      <w:r>
        <w:rPr>
          <w:rFonts w:ascii="Times New Roman" w:hAnsi="Times New Roman"/>
          <w:b/>
          <w:i w:val="0"/>
          <w:color w:val="000000"/>
          <w:sz w:val="24"/>
        </w:rPr>
        <w:t>1.8 Significance of the Study</w:t>
      </w:r>
    </w:p>
    <w:p>
      <w:pPr>
        <w:spacing w:before="0" w:after="120" w:line="480" w:lineRule="auto"/>
        <w:jc w:val="both"/>
      </w:pPr>
      <w:r>
        <w:rPr>
          <w:rFonts w:ascii="Times New Roman" w:hAnsi="Times New Roman"/>
          <w:b w:val="0"/>
          <w:i w:val="0"/>
          <w:sz w:val="24"/>
        </w:rPr>
        <w:t>The significance of this study is multidimensional, with implications spanning veterinary public health, food safety, environmental microbiology, and national AMR policy.</w:t>
      </w:r>
    </w:p>
    <w:p>
      <w:pPr>
        <w:spacing w:before="0" w:after="120" w:line="480" w:lineRule="auto"/>
        <w:jc w:val="both"/>
      </w:pPr>
      <w:r>
        <w:rPr>
          <w:rFonts w:ascii="Times New Roman" w:hAnsi="Times New Roman"/>
          <w:b w:val="0"/>
          <w:i w:val="0"/>
          <w:sz w:val="24"/>
        </w:rPr>
        <w:t xml:space="preserve">This study provides the first systematic documentation of MDR </w:t>
      </w:r>
      <w:r>
        <w:rPr>
          <w:rFonts w:ascii="Times New Roman" w:hAnsi="Times New Roman"/>
          <w:b w:val="0"/>
          <w:i/>
          <w:sz w:val="24"/>
        </w:rPr>
        <w:t>E. coli</w:t>
      </w:r>
      <w:r>
        <w:rPr>
          <w:rFonts w:ascii="Times New Roman" w:hAnsi="Times New Roman"/>
          <w:b w:val="0"/>
          <w:i w:val="0"/>
          <w:sz w:val="24"/>
        </w:rPr>
        <w:t xml:space="preserve"> bearing Class I and Class II integrons in poultry manure from commercial vendors in Zaria Metropolis. The data constitute an important AMR baseline for this understudied exposure pathway in North-West Nigeria. The resistance profiles and MAR index values generated serve as benchmarks against which future longitudinal surveillance can be measured, enabling the identification of temporal trends in resistance in the local poultry manure trade.</w:t>
      </w:r>
    </w:p>
    <w:p>
      <w:pPr>
        <w:spacing w:before="0" w:after="120" w:line="480" w:lineRule="auto"/>
        <w:jc w:val="both"/>
      </w:pPr>
      <w:r>
        <w:rPr>
          <w:rFonts w:ascii="Times New Roman" w:hAnsi="Times New Roman"/>
          <w:b w:val="0"/>
          <w:i w:val="0"/>
          <w:sz w:val="24"/>
        </w:rPr>
        <w:t>The detection of integrons in vendor-sourced poultry litter has direct implications for HGT risk assessment in the peri-urban agricultural environment. Integrons function as platforms for the horizontal mobilization of resistance gene cassettes across bacterial species, meaning that their presence in environmental E. coli indicates a genetic infrastructure capable of amplifying and propagating MDR beyond E. coli to other Enterobacterales and soil bacteria with which it coexists (Heuer et al., 2011; Fonseca et al., 2005). This finding would have significance for the design of risk-mitigation measures at vendor market level and for the management of agricultural soils receiving manure from these markets.</w:t>
      </w:r>
    </w:p>
    <w:p>
      <w:pPr>
        <w:spacing w:before="0" w:after="120" w:line="480" w:lineRule="auto"/>
        <w:jc w:val="both"/>
      </w:pPr>
      <w:r>
        <w:rPr>
          <w:rFonts w:ascii="Times New Roman" w:hAnsi="Times New Roman"/>
          <w:b w:val="0"/>
          <w:i w:val="0"/>
          <w:sz w:val="24"/>
        </w:rPr>
        <w:t>For food safety stakeholders, the study raises awareness of the AMR risk associated with the informal trade and land application of commercial poultry manure in urban and peri-urban Zaria, providing evidence relevant to the safety of locally grown produce for urban consumers. For veterinary practitioners and policymakers, the study generates an evidence base for antibiotic stewardship in commercial poultry production and for the formulation of biosafety standards applicable to the poultry manure trade. At the One Health level, the study bridges the animal and environmental domains of AMR surveillance, contributing data that are indispensable for a comprehensive, integrated understanding of AMR reservoirs and transmission pathways in North-West Nigeria.</w:t>
      </w:r>
    </w:p>
    <w:p>
      <w:pPr>
        <w:pStyle w:val="Heading3"/>
        <w:spacing w:before="120" w:after="60" w:line="480" w:lineRule="auto"/>
        <w:jc w:val="left"/>
      </w:pPr>
      <w:r>
        <w:rPr>
          <w:rFonts w:ascii="Times New Roman" w:hAnsi="Times New Roman"/>
          <w:b/>
          <w:i w:val="0"/>
          <w:color w:val="000000"/>
          <w:sz w:val="24"/>
        </w:rPr>
        <w:t>References for Chapter 1</w:t>
      </w:r>
    </w:p>
    <w:p>
      <w:pPr>
        <w:spacing w:before="0" w:after="120" w:line="480" w:lineRule="auto"/>
        <w:jc w:val="both"/>
      </w:pPr>
      <w:r>
        <w:rPr>
          <w:rFonts w:ascii="Times New Roman" w:hAnsi="Times New Roman"/>
          <w:b w:val="0"/>
          <w:i/>
          <w:sz w:val="24"/>
        </w:rPr>
        <w:t>(Full reference list in Chapter 8: References and Appendices)</w:t>
      </w:r>
    </w:p>
    <w:p>
      <w:pPr>
        <w:spacing w:before="0" w:after="120" w:line="480" w:lineRule="auto"/>
        <w:jc w:val="both"/>
      </w:pPr>
      <w:r>
        <w:rPr>
          <w:rFonts w:ascii="Times New Roman" w:hAnsi="Times New Roman"/>
          <w:b/>
          <w:i w:val="0"/>
          <w:sz w:val="24"/>
        </w:rPr>
        <w:t>In-text citations used in this chapter:</w:t>
      </w:r>
    </w:p>
    <w:p>
      <w:pPr>
        <w:pStyle w:val="ListBullet"/>
        <w:spacing w:before="40" w:after="40" w:line="240" w:lineRule="auto"/>
        <w:jc w:val="both"/>
      </w:pPr>
      <w:r>
        <w:rPr>
          <w:rFonts w:ascii="Times New Roman" w:hAnsi="Times New Roman"/>
          <w:b w:val="0"/>
          <w:i w:val="0"/>
          <w:sz w:val="24"/>
        </w:rPr>
        <w:t xml:space="preserve">Aworh et al. (2021): </w:t>
      </w:r>
      <w:r>
        <w:rPr>
          <w:rFonts w:ascii="Times New Roman" w:hAnsi="Times New Roman"/>
          <w:b w:val="0"/>
          <w:i/>
          <w:sz w:val="24"/>
        </w:rPr>
        <w:t>Aworh2021.pdf</w:t>
      </w:r>
    </w:p>
    <w:p>
      <w:pPr>
        <w:pStyle w:val="ListBullet"/>
        <w:spacing w:before="40" w:after="40" w:line="240" w:lineRule="auto"/>
        <w:jc w:val="both"/>
      </w:pPr>
      <w:r>
        <w:rPr>
          <w:rFonts w:ascii="Times New Roman" w:hAnsi="Times New Roman"/>
          <w:b w:val="0"/>
          <w:i w:val="0"/>
          <w:sz w:val="24"/>
        </w:rPr>
        <w:t xml:space="preserve">Doyle &amp; Erickson (2015): </w:t>
      </w:r>
      <w:r>
        <w:rPr>
          <w:rFonts w:ascii="Times New Roman" w:hAnsi="Times New Roman"/>
          <w:b w:val="0"/>
          <w:i/>
          <w:sz w:val="24"/>
        </w:rPr>
        <w:t>Doyle2015.pdf</w:t>
      </w:r>
    </w:p>
    <w:p>
      <w:pPr>
        <w:pStyle w:val="ListBullet"/>
        <w:spacing w:before="40" w:after="40" w:line="240" w:lineRule="auto"/>
        <w:jc w:val="both"/>
      </w:pPr>
      <w:r>
        <w:rPr>
          <w:rFonts w:ascii="Times New Roman" w:hAnsi="Times New Roman"/>
          <w:b w:val="0"/>
          <w:i w:val="0"/>
          <w:sz w:val="24"/>
        </w:rPr>
        <w:t xml:space="preserve">Ejeh et al. (2017): </w:t>
      </w:r>
      <w:r>
        <w:rPr>
          <w:rFonts w:ascii="Times New Roman" w:hAnsi="Times New Roman"/>
          <w:b w:val="0"/>
          <w:i/>
          <w:sz w:val="24"/>
        </w:rPr>
        <w:t>Ejeh2017.pdf</w:t>
      </w:r>
    </w:p>
    <w:p>
      <w:pPr>
        <w:pStyle w:val="ListBullet"/>
        <w:spacing w:before="40" w:after="40" w:line="240" w:lineRule="auto"/>
        <w:jc w:val="both"/>
      </w:pPr>
      <w:r>
        <w:rPr>
          <w:rFonts w:ascii="Times New Roman" w:hAnsi="Times New Roman"/>
          <w:b w:val="0"/>
          <w:i w:val="0"/>
          <w:sz w:val="24"/>
        </w:rPr>
        <w:t xml:space="preserve">Fair &amp; Tor (2014): </w:t>
      </w:r>
      <w:r>
        <w:rPr>
          <w:rFonts w:ascii="Times New Roman" w:hAnsi="Times New Roman"/>
          <w:b w:val="0"/>
          <w:i/>
          <w:sz w:val="24"/>
        </w:rPr>
        <w:t>Fair2014.pdf</w:t>
      </w:r>
    </w:p>
    <w:p>
      <w:pPr>
        <w:pStyle w:val="ListBullet"/>
        <w:spacing w:before="40" w:after="40" w:line="240" w:lineRule="auto"/>
        <w:jc w:val="both"/>
      </w:pPr>
      <w:r>
        <w:rPr>
          <w:rFonts w:ascii="Times New Roman" w:hAnsi="Times New Roman"/>
          <w:b w:val="0"/>
          <w:i w:val="0"/>
          <w:sz w:val="24"/>
        </w:rPr>
        <w:t xml:space="preserve">Fonseca et al. (2005): </w:t>
      </w:r>
      <w:r>
        <w:rPr>
          <w:rFonts w:ascii="Times New Roman" w:hAnsi="Times New Roman"/>
          <w:b w:val="0"/>
          <w:i/>
          <w:sz w:val="24"/>
        </w:rPr>
        <w:t>Fonseca2005_intgr.pdf</w:t>
      </w:r>
    </w:p>
    <w:p>
      <w:pPr>
        <w:pStyle w:val="ListBullet"/>
        <w:spacing w:before="40" w:after="40" w:line="240" w:lineRule="auto"/>
        <w:jc w:val="both"/>
      </w:pPr>
      <w:r>
        <w:rPr>
          <w:rFonts w:ascii="Times New Roman" w:hAnsi="Times New Roman"/>
          <w:b w:val="0"/>
          <w:i w:val="0"/>
          <w:sz w:val="24"/>
        </w:rPr>
        <w:t xml:space="preserve">Goldstein et al. (2001): </w:t>
      </w:r>
      <w:r>
        <w:rPr>
          <w:rFonts w:ascii="Times New Roman" w:hAnsi="Times New Roman"/>
          <w:b w:val="0"/>
          <w:i/>
          <w:sz w:val="24"/>
        </w:rPr>
        <w:t>Goldstein2001.pdf</w:t>
      </w:r>
    </w:p>
    <w:p>
      <w:pPr>
        <w:pStyle w:val="ListBullet"/>
        <w:spacing w:before="40" w:after="40" w:line="240" w:lineRule="auto"/>
        <w:jc w:val="both"/>
      </w:pPr>
      <w:r>
        <w:rPr>
          <w:rFonts w:ascii="Times New Roman" w:hAnsi="Times New Roman"/>
          <w:b w:val="0"/>
          <w:i w:val="0"/>
          <w:sz w:val="24"/>
        </w:rPr>
        <w:t xml:space="preserve">Hedman et al. (2020): </w:t>
      </w:r>
      <w:r>
        <w:rPr>
          <w:rFonts w:ascii="Times New Roman" w:hAnsi="Times New Roman"/>
          <w:b w:val="0"/>
          <w:i/>
          <w:sz w:val="24"/>
        </w:rPr>
        <w:t>Hedman2020.pdf</w:t>
      </w:r>
    </w:p>
    <w:p>
      <w:pPr>
        <w:pStyle w:val="ListBullet"/>
        <w:spacing w:before="40" w:after="40" w:line="240" w:lineRule="auto"/>
        <w:jc w:val="both"/>
      </w:pPr>
      <w:r>
        <w:rPr>
          <w:rFonts w:ascii="Times New Roman" w:hAnsi="Times New Roman"/>
          <w:b w:val="0"/>
          <w:i w:val="0"/>
          <w:sz w:val="24"/>
        </w:rPr>
        <w:t xml:space="preserve">Heuer et al. (2011): </w:t>
      </w:r>
      <w:r>
        <w:rPr>
          <w:rFonts w:ascii="Times New Roman" w:hAnsi="Times New Roman"/>
          <w:b w:val="0"/>
          <w:i/>
          <w:sz w:val="24"/>
        </w:rPr>
        <w:t>Heuer2011.pdf</w:t>
      </w:r>
    </w:p>
    <w:p>
      <w:pPr>
        <w:pStyle w:val="ListBullet"/>
        <w:spacing w:before="40" w:after="40" w:line="240" w:lineRule="auto"/>
        <w:jc w:val="both"/>
      </w:pPr>
      <w:r>
        <w:rPr>
          <w:rFonts w:ascii="Times New Roman" w:hAnsi="Times New Roman"/>
          <w:b w:val="0"/>
          <w:i w:val="0"/>
          <w:sz w:val="24"/>
        </w:rPr>
        <w:t xml:space="preserve">Kyakuwaire et al. (2019): </w:t>
      </w:r>
      <w:r>
        <w:rPr>
          <w:rFonts w:ascii="Times New Roman" w:hAnsi="Times New Roman"/>
          <w:b w:val="0"/>
          <w:i/>
          <w:sz w:val="24"/>
        </w:rPr>
        <w:t>Kyakuwaire2019.pdf</w:t>
      </w:r>
    </w:p>
    <w:p>
      <w:pPr>
        <w:pStyle w:val="ListBullet"/>
        <w:spacing w:before="40" w:after="40" w:line="240" w:lineRule="auto"/>
        <w:jc w:val="both"/>
      </w:pPr>
      <w:r>
        <w:rPr>
          <w:rFonts w:ascii="Times New Roman" w:hAnsi="Times New Roman"/>
          <w:b w:val="0"/>
          <w:i w:val="0"/>
          <w:sz w:val="24"/>
        </w:rPr>
        <w:t xml:space="preserve">Laxminarayan et al. (2013): </w:t>
      </w:r>
      <w:r>
        <w:rPr>
          <w:rFonts w:ascii="Times New Roman" w:hAnsi="Times New Roman"/>
          <w:b w:val="0"/>
          <w:i/>
          <w:sz w:val="24"/>
        </w:rPr>
        <w:t>Laxminarayan2013.pdf</w:t>
      </w:r>
    </w:p>
    <w:p>
      <w:pPr>
        <w:pStyle w:val="ListBullet"/>
        <w:spacing w:before="40" w:after="40" w:line="240" w:lineRule="auto"/>
        <w:jc w:val="both"/>
      </w:pPr>
      <w:r>
        <w:rPr>
          <w:rFonts w:ascii="Times New Roman" w:hAnsi="Times New Roman"/>
          <w:b w:val="0"/>
          <w:i w:val="0"/>
          <w:sz w:val="24"/>
        </w:rPr>
        <w:t xml:space="preserve">Marti et al. (2013): </w:t>
      </w:r>
      <w:r>
        <w:rPr>
          <w:rFonts w:ascii="Times New Roman" w:hAnsi="Times New Roman"/>
          <w:b w:val="0"/>
          <w:i/>
          <w:sz w:val="24"/>
        </w:rPr>
        <w:t>Marti2013.pdf</w:t>
      </w:r>
    </w:p>
    <w:p>
      <w:pPr>
        <w:pStyle w:val="ListBullet"/>
        <w:spacing w:before="40" w:after="40" w:line="240" w:lineRule="auto"/>
        <w:jc w:val="both"/>
      </w:pPr>
      <w:r>
        <w:rPr>
          <w:rFonts w:ascii="Times New Roman" w:hAnsi="Times New Roman"/>
          <w:b w:val="0"/>
          <w:i w:val="0"/>
          <w:sz w:val="24"/>
        </w:rPr>
        <w:t xml:space="preserve">Murray et al. (2022): </w:t>
      </w:r>
      <w:r>
        <w:rPr>
          <w:rFonts w:ascii="Times New Roman" w:hAnsi="Times New Roman"/>
          <w:b w:val="0"/>
          <w:i/>
          <w:sz w:val="24"/>
        </w:rPr>
        <w:t>Murray2022.pdf</w:t>
      </w:r>
    </w:p>
    <w:p>
      <w:pPr>
        <w:pStyle w:val="ListBullet"/>
        <w:spacing w:before="40" w:after="40" w:line="240" w:lineRule="auto"/>
        <w:jc w:val="both"/>
      </w:pPr>
      <w:r>
        <w:rPr>
          <w:rFonts w:ascii="Times New Roman" w:hAnsi="Times New Roman"/>
          <w:b w:val="0"/>
          <w:i w:val="0"/>
          <w:sz w:val="24"/>
        </w:rPr>
        <w:t xml:space="preserve">Oluwasile et al. (2014): </w:t>
      </w:r>
      <w:r>
        <w:rPr>
          <w:rFonts w:ascii="Times New Roman" w:hAnsi="Times New Roman"/>
          <w:b w:val="0"/>
          <w:i/>
          <w:sz w:val="24"/>
        </w:rPr>
        <w:t>Oluwasile2014.pdf</w:t>
      </w:r>
    </w:p>
    <w:p>
      <w:pPr>
        <w:pStyle w:val="ListBullet"/>
        <w:spacing w:before="40" w:after="40" w:line="240" w:lineRule="auto"/>
        <w:jc w:val="both"/>
      </w:pPr>
      <w:r>
        <w:rPr>
          <w:rFonts w:ascii="Times New Roman" w:hAnsi="Times New Roman"/>
          <w:b w:val="0"/>
          <w:i w:val="0"/>
          <w:sz w:val="24"/>
        </w:rPr>
        <w:t xml:space="preserve">Robins-Browne &amp; Hartland (2002): </w:t>
      </w:r>
      <w:r>
        <w:rPr>
          <w:rFonts w:ascii="Times New Roman" w:hAnsi="Times New Roman"/>
          <w:b w:val="0"/>
          <w:i/>
          <w:sz w:val="24"/>
        </w:rPr>
        <w:t>RobinsBrowne2005.pdf</w:t>
      </w:r>
    </w:p>
    <w:p>
      <w:pPr>
        <w:pStyle w:val="ListBullet"/>
        <w:spacing w:before="40" w:after="40" w:line="240" w:lineRule="auto"/>
        <w:jc w:val="both"/>
      </w:pPr>
      <w:r>
        <w:rPr>
          <w:rFonts w:ascii="Times New Roman" w:hAnsi="Times New Roman"/>
          <w:b w:val="0"/>
          <w:i w:val="0"/>
          <w:sz w:val="24"/>
        </w:rPr>
        <w:t xml:space="preserve">Tilman et al. (2011): </w:t>
      </w:r>
      <w:r>
        <w:rPr>
          <w:rFonts w:ascii="Times New Roman" w:hAnsi="Times New Roman"/>
          <w:b w:val="0"/>
          <w:i/>
          <w:sz w:val="24"/>
        </w:rPr>
        <w:t>Tilman2011.pdf</w:t>
      </w:r>
    </w:p>
    <w:p>
      <w:pPr>
        <w:pStyle w:val="ListBullet"/>
        <w:spacing w:before="40" w:after="40" w:line="240" w:lineRule="auto"/>
        <w:jc w:val="both"/>
      </w:pPr>
      <w:r>
        <w:rPr>
          <w:rFonts w:ascii="Times New Roman" w:hAnsi="Times New Roman"/>
          <w:b w:val="0"/>
          <w:i w:val="0"/>
          <w:sz w:val="24"/>
        </w:rPr>
        <w:t xml:space="preserve">Van Boeckel et al. (2015): </w:t>
      </w:r>
      <w:r>
        <w:rPr>
          <w:rFonts w:ascii="Times New Roman" w:hAnsi="Times New Roman"/>
          <w:b w:val="0"/>
          <w:i/>
          <w:sz w:val="24"/>
        </w:rPr>
        <w:t>VanBoeckel2015.pdf</w:t>
      </w:r>
    </w:p>
    <w:p>
      <w:r>
        <w:br w:type="page"/>
      </w:r>
    </w:p>
    <w:p>
      <w:pPr>
        <w:pStyle w:val="Heading1"/>
        <w:spacing w:before="240" w:after="120" w:line="480" w:lineRule="auto"/>
        <w:jc w:val="center"/>
      </w:pPr>
      <w:r>
        <w:rPr>
          <w:rFonts w:ascii="Times New Roman" w:hAnsi="Times New Roman"/>
          <w:b/>
          <w:i w:val="0"/>
          <w:color w:val="000000"/>
          <w:sz w:val="28"/>
        </w:rPr>
        <w:t>CHAPTER TWO</w:t>
      </w:r>
    </w:p>
    <w:p>
      <w:pPr>
        <w:pStyle w:val="Heading2"/>
        <w:spacing w:before="240" w:after="120" w:line="480" w:lineRule="auto"/>
        <w:jc w:val="left"/>
      </w:pPr>
      <w:r>
        <w:rPr>
          <w:rFonts w:ascii="Times New Roman" w:hAnsi="Times New Roman"/>
          <w:b/>
          <w:i w:val="0"/>
          <w:color w:val="000000"/>
          <w:sz w:val="24"/>
        </w:rPr>
        <w:t>REVIEW OF RELATED LITERATURE</w:t>
      </w:r>
    </w:p>
    <w:p>
      <w:pPr>
        <w:pStyle w:val="Heading3"/>
        <w:spacing w:before="120" w:after="60" w:line="480" w:lineRule="auto"/>
        <w:jc w:val="left"/>
      </w:pPr>
      <w:r>
        <w:rPr>
          <w:rFonts w:ascii="Times New Roman" w:hAnsi="Times New Roman"/>
          <w:b/>
          <w:i w:val="0"/>
          <w:color w:val="000000"/>
          <w:sz w:val="24"/>
        </w:rPr>
        <w:t>2.1 Overview of Antimicrobial Resistance</w:t>
      </w:r>
    </w:p>
    <w:p>
      <w:pPr>
        <w:spacing w:before="0" w:after="120" w:line="480" w:lineRule="auto"/>
        <w:jc w:val="both"/>
      </w:pPr>
      <w:r>
        <w:rPr>
          <w:rFonts w:ascii="Times New Roman" w:hAnsi="Times New Roman"/>
          <w:b w:val="0"/>
          <w:i w:val="0"/>
          <w:sz w:val="24"/>
        </w:rPr>
        <w:t>Antimicrobial resistance (AMR) is defined as the capacity of a microorganism to withstand the inhibitory or bactericidal effects of an antimicrobial agent at concentrations that would ordinarily be sufficient to kill or suppress its growth (Fair &amp; Tor, 2014). This phenomenon is an intrinsic evolutionary response to antibiotic selective pressure and emerges through a variety of biochemical mechanisms that can be broadly categorized as: (i) enzymatic inactivation or modification of the antibiotic, exemplified by beta-lactamases that hydrolyse the beta-lactam ring of penicillins and cephalosporins, and aminoglycoside-modifying enzymes that acetylate, phosphorylate, or adenylate aminoglycosides; (ii) active efflux of the antibiotic from the bacterial cell via membrane-embedded efflux pump systems, including the AcrAB-TolC system in Gram-negative organisms; (iii) modification of the antibiotic target site, as seen in fluoroquinolone resistance mediated by mutations in gyrA and parC genes encoding DNA gyrase and topoisomerase IV; and (iv) alterations in outer membrane permeability through the downregulation of porins that reduce antibiotic uptake into the cell (Fair &amp; Tor, 2014). These mechanisms do not operate in isolation; bacteria frequently combine multiple resistance strategies within a single cell, creating a multidrug-resistant (MDR) phenotype that is progressively more difficult to treat with conventional therapeutic options.</w:t>
      </w:r>
    </w:p>
    <w:p>
      <w:pPr>
        <w:spacing w:before="0" w:after="120" w:line="480" w:lineRule="auto"/>
        <w:jc w:val="both"/>
      </w:pPr>
      <w:r>
        <w:rPr>
          <w:rFonts w:ascii="Times New Roman" w:hAnsi="Times New Roman"/>
          <w:b w:val="0"/>
          <w:i w:val="0"/>
          <w:sz w:val="24"/>
        </w:rPr>
        <w:t xml:space="preserve">At the global level, the burden of AMR is catastrophic in scale. The most comprehensive systematic analysis to date estimated that AMR directly caused 1.27 million deaths in 2019 and was associated with approximately 4.95 million deaths when indirect attributable mortality was included (Murray et al., 2022; Cassini et al., 2019; Patra et al., 2025). The pathogens responsible for the greatest number of AMR-attributable deaths included </w:t>
      </w:r>
      <w:r>
        <w:rPr>
          <w:rFonts w:ascii="Times New Roman" w:hAnsi="Times New Roman"/>
          <w:b w:val="0"/>
          <w:i/>
          <w:sz w:val="24"/>
        </w:rPr>
        <w:t>Staphylococcus aureus</w:t>
      </w:r>
      <w:r>
        <w:rPr>
          <w:rFonts w:ascii="Times New Roman" w:hAnsi="Times New Roman"/>
          <w:b w:val="0"/>
          <w:i w:val="0"/>
          <w:sz w:val="24"/>
        </w:rPr>
        <w:t xml:space="preserve">,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Streptococcus pneumoniae</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(Murray et al., 2022). Sub-Saharan Africa recorded the highest age-standardized mortality attributable to AMR of any world region, reflecting the compounding effect of high baseline infectious disease burden, limited access to second-line antimicrobials, and inadequate surveillance infrastructure. Laxminarayan et al. (2013) provided an early and seminal articulation of the global AMR problem, calling for a coordinated international response spanning healthcare, agriculture, veterinary medicine, and environmental management, an approach now codified in the One Health framework (Harbarth et al., 2015; Sharma et al., 2024).</w:t>
      </w:r>
    </w:p>
    <w:p>
      <w:pPr>
        <w:spacing w:before="0" w:after="120" w:line="480" w:lineRule="auto"/>
        <w:jc w:val="both"/>
      </w:pPr>
      <w:r>
        <w:rPr>
          <w:rFonts w:ascii="Times New Roman" w:hAnsi="Times New Roman"/>
          <w:b w:val="0"/>
          <w:i w:val="0"/>
          <w:sz w:val="24"/>
        </w:rPr>
        <w:t>The One Health concept recognizes that the health of humans, animals, and the environment is inextricably interlinked, and that AMR, as a phenomenon that transcends species barriers and ecosystem boundaries, can only be effectively controlled through coordinated, transdisciplinary action across all three domains (Laxminarayan et al., 2013). This framework has been formally adopted by WHO, FAO, and WOAH in their joint tripartite AMR action plan. Its central premise as it applies to AMR is that the selective pressures operating in agricultural and veterinary environments generate resistance determinants that ultimately migrate into clinical settings, mediated by the movement of animals, animal products, manure, water, and the humans who interact with them (Van Boeckel et al., 2015; Laxminarayan et al., 2013).</w:t>
      </w:r>
    </w:p>
    <w:p>
      <w:pPr>
        <w:spacing w:before="0" w:after="120" w:line="480" w:lineRule="auto"/>
        <w:jc w:val="both"/>
      </w:pPr>
      <w:r>
        <w:rPr>
          <w:rFonts w:ascii="Times New Roman" w:hAnsi="Times New Roman"/>
          <w:b w:val="0"/>
          <w:i w:val="0"/>
          <w:sz w:val="24"/>
        </w:rPr>
        <w:t xml:space="preserve">The agricultural sector, and commercial food animal production in particular, is recognized as a major driver of AMR through the large-scale use of antibiotics in livestock and poultry. Van Boeckel et al. (2015) estimated that antimicrobial consumption in food animals globally would increase by 67% between 2010 and 2030, with the greatest proportional increases in Africa and Asia as commercial production systems expanded to meet rising food demand. This intensification of antibiotic use in food animals generates enormous selective pressure that enriches resistant bacterial populations in animal gut microbiomes, manure, and the environment (Van Boeckel et al., 2015). In West Africa specifically, a systematic review and meta-analysis documented high rates of AMR in Enterobacterales across the region, with </w:t>
      </w:r>
      <w:r>
        <w:rPr>
          <w:rFonts w:ascii="Times New Roman" w:hAnsi="Times New Roman"/>
          <w:b w:val="0"/>
          <w:i/>
          <w:sz w:val="24"/>
        </w:rPr>
        <w:t>E. coli</w:t>
      </w:r>
      <w:r>
        <w:rPr>
          <w:rFonts w:ascii="Times New Roman" w:hAnsi="Times New Roman"/>
          <w:b w:val="0"/>
          <w:i w:val="0"/>
          <w:sz w:val="24"/>
        </w:rPr>
        <w:t xml:space="preserve"> resistance to ampicillin, tetracycline, and cotrimoxazole exceeding 60% in many studies (Lambraki et al., 2017). These figures underscore the severity of the AMR landscape in Nigeria and its neighboring countries, and highlight the urgency of environmental and veterinary surveillance as a complement to clinical AMR monitoring.</w:t>
      </w:r>
    </w:p>
    <w:p>
      <w:pPr>
        <w:pStyle w:val="Heading3"/>
        <w:spacing w:before="120" w:after="60" w:line="480" w:lineRule="auto"/>
        <w:jc w:val="left"/>
      </w:pPr>
      <w:r>
        <w:rPr>
          <w:rFonts w:ascii="Times New Roman" w:hAnsi="Times New Roman"/>
          <w:b/>
          <w:i w:val="0"/>
          <w:color w:val="000000"/>
          <w:sz w:val="24"/>
        </w:rPr>
        <w:t>2.2 *Escherichia coli* as an Indicator Organism for AMR</w:t>
      </w:r>
    </w:p>
    <w:p>
      <w:pPr>
        <w:spacing w:before="0" w:after="120" w:line="480" w:lineRule="auto"/>
        <w:jc w:val="both"/>
      </w:pPr>
      <w:r>
        <w:rPr>
          <w:rFonts w:ascii="Times New Roman" w:hAnsi="Times New Roman"/>
          <w:b w:val="0"/>
          <w:i/>
          <w:sz w:val="24"/>
        </w:rPr>
        <w:t>Escherichia coli</w:t>
      </w:r>
      <w:r>
        <w:rPr>
          <w:rFonts w:ascii="Times New Roman" w:hAnsi="Times New Roman"/>
          <w:b w:val="0"/>
          <w:i w:val="0"/>
          <w:sz w:val="24"/>
        </w:rPr>
        <w:t xml:space="preserve"> is a Gram-negative, facultatively anaerobic rod belonging to the family Enterobacteriaceae. It occupies a dual role in microbiology: as a commensal constituent of the normal intestinal flora of warm-blooded animals and humans, and as an opportunistic pathogen capable of causing diverse clinical syndromes including urinary tract infections, neonatal meningitis, septicemia, and gastrointestinal disease in immunocompromised or otherwise vulnerable hosts (Robins-Browne &amp; Hartland, 2002). The pathogenic potential of </w:t>
      </w:r>
      <w:r>
        <w:rPr>
          <w:rFonts w:ascii="Times New Roman" w:hAnsi="Times New Roman"/>
          <w:b w:val="0"/>
          <w:i/>
          <w:sz w:val="24"/>
        </w:rPr>
        <w:t>E. coli</w:t>
      </w:r>
      <w:r>
        <w:rPr>
          <w:rFonts w:ascii="Times New Roman" w:hAnsi="Times New Roman"/>
          <w:b w:val="0"/>
          <w:i w:val="0"/>
          <w:sz w:val="24"/>
        </w:rPr>
        <w:t xml:space="preserve"> is expressed through a wide range of virulence factors, including adhesins, toxins, invasins, and siderophores, whose acquisition is itself frequently linked to MGEs that co-occur with resistance genes on the same plasmids or chromosomal pathogenicity islands (Robins-Browne &amp; Hartland, 2002). This co-linkage of virulence and resistance is of particular concern in food-animal settings, where MDR </w:t>
      </w:r>
      <w:r>
        <w:rPr>
          <w:rFonts w:ascii="Times New Roman" w:hAnsi="Times New Roman"/>
          <w:b w:val="0"/>
          <w:i/>
          <w:sz w:val="24"/>
        </w:rPr>
        <w:t>E. coli</w:t>
      </w:r>
      <w:r>
        <w:rPr>
          <w:rFonts w:ascii="Times New Roman" w:hAnsi="Times New Roman"/>
          <w:b w:val="0"/>
          <w:i w:val="0"/>
          <w:sz w:val="24"/>
        </w:rPr>
        <w:t xml:space="preserve"> bearing virulence factors may simultaneously pose a treatment challenge and a direct pathogenic risk to exposed humans and animals (Agusi et al., 2024).</w:t>
      </w:r>
    </w:p>
    <w:p>
      <w:pPr>
        <w:spacing w:before="0" w:after="120" w:line="480" w:lineRule="auto"/>
        <w:jc w:val="both"/>
      </w:pPr>
      <w:r>
        <w:rPr>
          <w:rFonts w:ascii="Times New Roman" w:hAnsi="Times New Roman"/>
          <w:b w:val="0"/>
          <w:i w:val="0"/>
          <w:sz w:val="24"/>
        </w:rPr>
        <w:t xml:space="preserve">The WHO recommends </w:t>
      </w:r>
      <w:r>
        <w:rPr>
          <w:rFonts w:ascii="Times New Roman" w:hAnsi="Times New Roman"/>
          <w:b w:val="0"/>
          <w:i/>
          <w:sz w:val="24"/>
        </w:rPr>
        <w:t>E. coli</w:t>
      </w:r>
      <w:r>
        <w:rPr>
          <w:rFonts w:ascii="Times New Roman" w:hAnsi="Times New Roman"/>
          <w:b w:val="0"/>
          <w:i w:val="0"/>
          <w:sz w:val="24"/>
        </w:rPr>
        <w:t xml:space="preserve"> as a priority integrated surveillance indicator organism for AMR in the food chain and livestock sector, based on four characteristics: (i) its ubiquitous presence in the feces of food animals and humans; (ii) its ease and reliability of culture using standard laboratory media and conditions; (iii) its well-characterized resistance mechanisms, which span virtually the entire spectrum of clinically relevant antibiotic classes; and (iv) its demonstrated role as a reservoir and donor of resistance genes for other, more pathogenic Enterobacterales (Hedman et al., 2020). In this surveillance framework, AMR in commensal </w:t>
      </w:r>
      <w:r>
        <w:rPr>
          <w:rFonts w:ascii="Times New Roman" w:hAnsi="Times New Roman"/>
          <w:b w:val="0"/>
          <w:i/>
          <w:sz w:val="24"/>
        </w:rPr>
        <w:t>E. coli</w:t>
      </w:r>
      <w:r>
        <w:rPr>
          <w:rFonts w:ascii="Times New Roman" w:hAnsi="Times New Roman"/>
          <w:b w:val="0"/>
          <w:i w:val="0"/>
          <w:sz w:val="24"/>
        </w:rPr>
        <w:t xml:space="preserve"> from food animals serves as a sentinel for the selective pressure exerted by antibiotic use in that production system, and as an early warning indicator for resistance trends that may subsequently appear in clinical settings (Hedman et al., 2020; Doyle &amp; Erickson, 2015).</w:t>
      </w:r>
    </w:p>
    <w:p>
      <w:pPr>
        <w:spacing w:before="0" w:after="120" w:line="480" w:lineRule="auto"/>
        <w:jc w:val="both"/>
      </w:pPr>
      <w:r>
        <w:rPr>
          <w:rFonts w:ascii="Times New Roman" w:hAnsi="Times New Roman"/>
          <w:b w:val="0"/>
          <w:i w:val="0"/>
          <w:sz w:val="24"/>
        </w:rPr>
        <w:t xml:space="preserve">The capacity of </w:t>
      </w:r>
      <w:r>
        <w:rPr>
          <w:rFonts w:ascii="Times New Roman" w:hAnsi="Times New Roman"/>
          <w:b w:val="0"/>
          <w:i/>
          <w:sz w:val="24"/>
        </w:rPr>
        <w:t>E. coli</w:t>
      </w:r>
      <w:r>
        <w:rPr>
          <w:rFonts w:ascii="Times New Roman" w:hAnsi="Times New Roman"/>
          <w:b w:val="0"/>
          <w:i w:val="0"/>
          <w:sz w:val="24"/>
        </w:rPr>
        <w:t xml:space="preserve"> to accumulate and share resistance genes is particularly relevant in the context of MDR. </w:t>
      </w:r>
      <w:r>
        <w:rPr>
          <w:rFonts w:ascii="Times New Roman" w:hAnsi="Times New Roman"/>
          <w:b w:val="0"/>
          <w:i/>
          <w:sz w:val="24"/>
        </w:rPr>
        <w:t>E. coli</w:t>
      </w:r>
      <w:r>
        <w:rPr>
          <w:rFonts w:ascii="Times New Roman" w:hAnsi="Times New Roman"/>
          <w:b w:val="0"/>
          <w:i w:val="0"/>
          <w:sz w:val="24"/>
        </w:rPr>
        <w:t xml:space="preserve"> is an exceptionally competent host for plasmids, transposons, and integrons, and the high frequency of horizontal gene transfer between </w:t>
      </w:r>
      <w:r>
        <w:rPr>
          <w:rFonts w:ascii="Times New Roman" w:hAnsi="Times New Roman"/>
          <w:b w:val="0"/>
          <w:i/>
          <w:sz w:val="24"/>
        </w:rPr>
        <w:t>E. coli</w:t>
      </w:r>
      <w:r>
        <w:rPr>
          <w:rFonts w:ascii="Times New Roman" w:hAnsi="Times New Roman"/>
          <w:b w:val="0"/>
          <w:i w:val="0"/>
          <w:sz w:val="24"/>
        </w:rPr>
        <w:t xml:space="preserve"> and other Enterobacterales in the gut environment means that resistance genes that originate in commensal animal </w:t>
      </w:r>
      <w:r>
        <w:rPr>
          <w:rFonts w:ascii="Times New Roman" w:hAnsi="Times New Roman"/>
          <w:b w:val="0"/>
          <w:i/>
          <w:sz w:val="24"/>
        </w:rPr>
        <w:t>E. coli</w:t>
      </w:r>
      <w:r>
        <w:rPr>
          <w:rFonts w:ascii="Times New Roman" w:hAnsi="Times New Roman"/>
          <w:b w:val="0"/>
          <w:i w:val="0"/>
          <w:sz w:val="24"/>
        </w:rPr>
        <w:t xml:space="preserve"> can ultimately reach human pathogens such as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Salmonella</w:t>
      </w:r>
      <w:r>
        <w:rPr>
          <w:rFonts w:ascii="Times New Roman" w:hAnsi="Times New Roman"/>
          <w:b w:val="0"/>
          <w:i w:val="0"/>
          <w:sz w:val="24"/>
        </w:rPr>
        <w:t xml:space="preserve"> spp., and uropathogenic </w:t>
      </w:r>
      <w:r>
        <w:rPr>
          <w:rFonts w:ascii="Times New Roman" w:hAnsi="Times New Roman"/>
          <w:b w:val="0"/>
          <w:i/>
          <w:sz w:val="24"/>
        </w:rPr>
        <w:t>E. coli</w:t>
      </w:r>
      <w:r>
        <w:rPr>
          <w:rFonts w:ascii="Times New Roman" w:hAnsi="Times New Roman"/>
          <w:b w:val="0"/>
          <w:i w:val="0"/>
          <w:sz w:val="24"/>
        </w:rPr>
        <w:t xml:space="preserve"> (Mbelle et al., 2019). Johnson et al. (2016) documented the global spread of </w:t>
      </w:r>
      <w:r>
        <w:rPr>
          <w:rFonts w:ascii="Times New Roman" w:hAnsi="Times New Roman"/>
          <w:b w:val="0"/>
          <w:i/>
          <w:sz w:val="24"/>
        </w:rPr>
        <w:t>E. coli</w:t>
      </w:r>
      <w:r>
        <w:rPr>
          <w:rFonts w:ascii="Times New Roman" w:hAnsi="Times New Roman"/>
          <w:b w:val="0"/>
          <w:i w:val="0"/>
          <w:sz w:val="24"/>
        </w:rPr>
        <w:t xml:space="preserve"> sequence type ST131, a pandemic multidrug-resistant clone associated with fluoroquinolone resistance and ESBL production, and demonstrated its linkage to food-animal environments as a probable amplification niche, underscoring the epidemiological continuum between animal and human </w:t>
      </w:r>
      <w:r>
        <w:rPr>
          <w:rFonts w:ascii="Times New Roman" w:hAnsi="Times New Roman"/>
          <w:b w:val="0"/>
          <w:i/>
          <w:sz w:val="24"/>
        </w:rPr>
        <w:t>E. coli</w:t>
      </w:r>
      <w:r>
        <w:rPr>
          <w:rFonts w:ascii="Times New Roman" w:hAnsi="Times New Roman"/>
          <w:b w:val="0"/>
          <w:i w:val="0"/>
          <w:sz w:val="24"/>
        </w:rPr>
        <w:t xml:space="preserve"> populations. In South Africa, whole-genome sequencing of MDR </w:t>
      </w:r>
      <w:r>
        <w:rPr>
          <w:rFonts w:ascii="Times New Roman" w:hAnsi="Times New Roman"/>
          <w:b w:val="0"/>
          <w:i/>
          <w:sz w:val="24"/>
        </w:rPr>
        <w:t>E. coli</w:t>
      </w:r>
      <w:r>
        <w:rPr>
          <w:rFonts w:ascii="Times New Roman" w:hAnsi="Times New Roman"/>
          <w:b w:val="0"/>
          <w:i w:val="0"/>
          <w:sz w:val="24"/>
        </w:rPr>
        <w:t xml:space="preserve"> clinical isolates from Pretoria revealed that Class 1 integrons were a dominant feature of the resistome, carrying gene cassettes conferring resistance to aminoglycosides, trimethoprim, and sulfonamides (Mbelle et al., 2019).</w:t>
      </w:r>
    </w:p>
    <w:p>
      <w:pPr>
        <w:spacing w:before="0" w:after="120" w:line="480" w:lineRule="auto"/>
        <w:jc w:val="both"/>
      </w:pPr>
      <w:r>
        <w:rPr>
          <w:rFonts w:ascii="Times New Roman" w:hAnsi="Times New Roman"/>
          <w:b w:val="0"/>
          <w:i w:val="0"/>
          <w:sz w:val="24"/>
        </w:rPr>
        <w:t xml:space="preserve">In Nigeria, the evidence for </w:t>
      </w:r>
      <w:r>
        <w:rPr>
          <w:rFonts w:ascii="Times New Roman" w:hAnsi="Times New Roman"/>
          <w:b w:val="0"/>
          <w:i/>
          <w:sz w:val="24"/>
        </w:rPr>
        <w:t>E. coli</w:t>
      </w:r>
      <w:r>
        <w:rPr>
          <w:rFonts w:ascii="Times New Roman" w:hAnsi="Times New Roman"/>
          <w:b w:val="0"/>
          <w:i w:val="0"/>
          <w:sz w:val="24"/>
        </w:rPr>
        <w:t xml:space="preserve"> as an AMR indicator in poultry environments is compelling. Aworh et al. (2021) demonstrated that Nigerian veterinarians had significant knowledge gaps regarding antimicrobial stewardship, with many practitioners administering critically important antibiotics, including fluoroquinolones and third-generation cephalosporins, without adequate diagnostic justification, creating conditions conducive to resistance selection in food animals. Ejeh et al. (2017) confirmed that multiple antibiotic resistance was a feature of </w:t>
      </w:r>
      <w:r>
        <w:rPr>
          <w:rFonts w:ascii="Times New Roman" w:hAnsi="Times New Roman"/>
          <w:b w:val="0"/>
          <w:i/>
          <w:sz w:val="24"/>
        </w:rPr>
        <w:t>E. coli</w:t>
      </w:r>
      <w:r>
        <w:rPr>
          <w:rFonts w:ascii="Times New Roman" w:hAnsi="Times New Roman"/>
          <w:b w:val="0"/>
          <w:i w:val="0"/>
          <w:sz w:val="24"/>
        </w:rPr>
        <w:t xml:space="preserve"> from poultry sold along roadsides in Zaria, with MAR indices exceeding 0.2 in the majority of isolates, indicating environments with high prior antibiotic exposure. These findings collectively establish </w:t>
      </w:r>
      <w:r>
        <w:rPr>
          <w:rFonts w:ascii="Times New Roman" w:hAnsi="Times New Roman"/>
          <w:b w:val="0"/>
          <w:i/>
          <w:sz w:val="24"/>
        </w:rPr>
        <w:t>E. coli</w:t>
      </w:r>
      <w:r>
        <w:rPr>
          <w:rFonts w:ascii="Times New Roman" w:hAnsi="Times New Roman"/>
          <w:b w:val="0"/>
          <w:i w:val="0"/>
          <w:sz w:val="24"/>
        </w:rPr>
        <w:t xml:space="preserve"> as an appropriate and informative sentinel organism for AMR surveillance in the Nigerian poultry sector, validating its selection as the target organism for the present study.</w:t>
      </w:r>
    </w:p>
    <w:p>
      <w:pPr>
        <w:pStyle w:val="Heading3"/>
        <w:spacing w:before="120" w:after="60" w:line="480" w:lineRule="auto"/>
        <w:jc w:val="left"/>
      </w:pPr>
      <w:r>
        <w:rPr>
          <w:rFonts w:ascii="Times New Roman" w:hAnsi="Times New Roman"/>
          <w:b/>
          <w:i w:val="0"/>
          <w:color w:val="000000"/>
          <w:sz w:val="24"/>
        </w:rPr>
        <w:t>2.3 MDR *Escherichia coli* in Poultry Environments</w:t>
      </w:r>
    </w:p>
    <w:p>
      <w:pPr>
        <w:spacing w:before="0" w:after="120" w:line="480" w:lineRule="auto"/>
        <w:jc w:val="both"/>
      </w:pPr>
      <w:r>
        <w:rPr>
          <w:rFonts w:ascii="Times New Roman" w:hAnsi="Times New Roman"/>
          <w:b w:val="0"/>
          <w:i w:val="0"/>
          <w:sz w:val="24"/>
        </w:rPr>
        <w:t xml:space="preserve">Multidrug resistance (MDR) in bacteria is defined as resistance to at least one antimicrobial agent in three or more antibiotic classes (Fair &amp; Tor, 2014). In </w:t>
      </w:r>
      <w:r>
        <w:rPr>
          <w:rFonts w:ascii="Times New Roman" w:hAnsi="Times New Roman"/>
          <w:b w:val="0"/>
          <w:i/>
          <w:sz w:val="24"/>
        </w:rPr>
        <w:t>E. coli</w:t>
      </w:r>
      <w:r>
        <w:rPr>
          <w:rFonts w:ascii="Times New Roman" w:hAnsi="Times New Roman"/>
          <w:b w:val="0"/>
          <w:i w:val="0"/>
          <w:sz w:val="24"/>
        </w:rPr>
        <w:t>, this phenotype has become increasingly prevalent in food-animal production environments worldwide, driven by the cumulative selective pressures of antibiotic use, the horizontal mobility of resistance genes, and the inadequacy of antibiotic stewardship frameworks in many agricultural settings (Laxminarayan et al., 2013; Van Boeckel et al., 2015).</w:t>
      </w:r>
    </w:p>
    <w:p>
      <w:pPr>
        <w:spacing w:before="0" w:after="120" w:line="480" w:lineRule="auto"/>
        <w:jc w:val="both"/>
      </w:pPr>
      <w:r>
        <w:rPr>
          <w:rFonts w:ascii="Times New Roman" w:hAnsi="Times New Roman"/>
          <w:b w:val="0"/>
          <w:i w:val="0"/>
          <w:sz w:val="24"/>
        </w:rPr>
        <w:t xml:space="preserve">At the global level, MDR </w:t>
      </w:r>
      <w:r>
        <w:rPr>
          <w:rFonts w:ascii="Times New Roman" w:hAnsi="Times New Roman"/>
          <w:b w:val="0"/>
          <w:i/>
          <w:sz w:val="24"/>
        </w:rPr>
        <w:t>E. coli</w:t>
      </w:r>
      <w:r>
        <w:rPr>
          <w:rFonts w:ascii="Times New Roman" w:hAnsi="Times New Roman"/>
          <w:b w:val="0"/>
          <w:i w:val="0"/>
          <w:sz w:val="24"/>
        </w:rPr>
        <w:t xml:space="preserve"> has been documented in poultry from all inhabited continents. Abdalla et al. (2021) characterized </w:t>
      </w:r>
      <w:r>
        <w:rPr>
          <w:rFonts w:ascii="Times New Roman" w:hAnsi="Times New Roman"/>
          <w:b w:val="0"/>
          <w:i/>
          <w:sz w:val="24"/>
        </w:rPr>
        <w:t>E. coli</w:t>
      </w:r>
      <w:r>
        <w:rPr>
          <w:rFonts w:ascii="Times New Roman" w:hAnsi="Times New Roman"/>
          <w:b w:val="0"/>
          <w:i w:val="0"/>
          <w:sz w:val="24"/>
        </w:rPr>
        <w:t xml:space="preserve"> across the pork food chain, from intensive pig production through processing to retail, in South Africa, reporting high levels of MDR including resistance to fluoroquinolones and third-generation cephalosporins at every node in the chain. The farm-to-fork perpetuation of MDR demonstrated in that study has analogous implications for poultry, where the same classes of antibiotics are widely used. Ramírez-Castillo et al. (2023) isolated MDR </w:t>
      </w:r>
      <w:r>
        <w:rPr>
          <w:rFonts w:ascii="Times New Roman" w:hAnsi="Times New Roman"/>
          <w:b w:val="0"/>
          <w:i/>
          <w:sz w:val="24"/>
        </w:rPr>
        <w:t>E. coli</w:t>
      </w:r>
      <w:r>
        <w:rPr>
          <w:rFonts w:ascii="Times New Roman" w:hAnsi="Times New Roman"/>
          <w:b w:val="0"/>
          <w:i w:val="0"/>
          <w:sz w:val="24"/>
        </w:rPr>
        <w:t xml:space="preserve"> from day-old broiler chicks in Mexico, with the highest resistance rates against ampicillin, tetracycline, and sulfonamides, mirror images of the resistance profiles commonly reported in African poultry, reflecting the globally uniform selective pressure of these antibiotic classes in commercial production. Khan et al. (2014) reported MDR </w:t>
      </w:r>
      <w:r>
        <w:rPr>
          <w:rFonts w:ascii="Times New Roman" w:hAnsi="Times New Roman"/>
          <w:b w:val="0"/>
          <w:i/>
          <w:sz w:val="24"/>
        </w:rPr>
        <w:t>E. coli</w:t>
      </w:r>
      <w:r>
        <w:rPr>
          <w:rFonts w:ascii="Times New Roman" w:hAnsi="Times New Roman"/>
          <w:b w:val="0"/>
          <w:i w:val="0"/>
          <w:sz w:val="24"/>
        </w:rPr>
        <w:t xml:space="preserve"> from poultry waste in the Chittagong region of Bangladesh, documenting both plasmid-mediated and chromosomally encoded resistance mechanisms in isolates from the same production environment, indicating a multi-pathway acquisition of MDR that complicates control strategies. Kamaruzzaman et al. (2020) reported MDR </w:t>
      </w:r>
      <w:r>
        <w:rPr>
          <w:rFonts w:ascii="Times New Roman" w:hAnsi="Times New Roman"/>
          <w:b w:val="0"/>
          <w:i/>
          <w:sz w:val="24"/>
        </w:rPr>
        <w:t>E. coli</w:t>
      </w:r>
      <w:r>
        <w:rPr>
          <w:rFonts w:ascii="Times New Roman" w:hAnsi="Times New Roman"/>
          <w:b w:val="0"/>
          <w:i w:val="0"/>
          <w:sz w:val="24"/>
        </w:rPr>
        <w:t xml:space="preserve"> and </w:t>
      </w:r>
      <w:r>
        <w:rPr>
          <w:rFonts w:ascii="Times New Roman" w:hAnsi="Times New Roman"/>
          <w:b w:val="0"/>
          <w:i/>
          <w:sz w:val="24"/>
        </w:rPr>
        <w:t>Salmonella</w:t>
      </w:r>
      <w:r>
        <w:rPr>
          <w:rFonts w:ascii="Times New Roman" w:hAnsi="Times New Roman"/>
          <w:b w:val="0"/>
          <w:i w:val="0"/>
          <w:sz w:val="24"/>
        </w:rPr>
        <w:t xml:space="preserve"> from broilers in East Coast Malaysia, with resistance patterns consistent with those documented in sub-Saharan Africa, suggesting that commercial poultry production globally constitutes a relatively homogeneous AMR-selective environment. Ibrahim et al. (2019) similarly identified APEC from Jordanian broilers with high AMR prevalence, attributing emergence to inappropriate antibiotic use and inadequate hygiene practices. Haulisah et al. (2021) reported high AMR levels in clinical isolates from diseased livestock in Malaysia, highlighting that overuse of antimicrobials beyond therapeutic needs accelerates resistance in food animals. Peng et al. (2022), in a large-scale genomic surveillance of MDR </w:t>
      </w:r>
      <w:r>
        <w:rPr>
          <w:rFonts w:ascii="Times New Roman" w:hAnsi="Times New Roman"/>
          <w:b w:val="0"/>
          <w:i/>
          <w:sz w:val="24"/>
        </w:rPr>
        <w:t>E. coli</w:t>
      </w:r>
      <w:r>
        <w:rPr>
          <w:rFonts w:ascii="Times New Roman" w:hAnsi="Times New Roman"/>
          <w:b w:val="0"/>
          <w:i w:val="0"/>
          <w:sz w:val="24"/>
        </w:rPr>
        <w:t xml:space="preserve"> from pig farms across mainland China, detected multidrug resistance in 91% of isolates and found resistance to last-resort drugs including colistin and carbapenems, further underscoring the global severity of the MDR challenge in food animal production. Odonkor and Addo (2018) documented MDR </w:t>
      </w:r>
      <w:r>
        <w:rPr>
          <w:rFonts w:ascii="Times New Roman" w:hAnsi="Times New Roman"/>
          <w:b w:val="0"/>
          <w:i/>
          <w:sz w:val="24"/>
        </w:rPr>
        <w:t>E. coli</w:t>
      </w:r>
      <w:r>
        <w:rPr>
          <w:rFonts w:ascii="Times New Roman" w:hAnsi="Times New Roman"/>
          <w:b w:val="0"/>
          <w:i w:val="0"/>
          <w:sz w:val="24"/>
        </w:rPr>
        <w:t xml:space="preserve"> in drinking water sources in Ghana, demonstrating that resistant organisms from agricultural environments enter environmental water bodies accessible to human populations. Abebe et al. (2023) documented AMR in </w:t>
      </w:r>
      <w:r>
        <w:rPr>
          <w:rFonts w:ascii="Times New Roman" w:hAnsi="Times New Roman"/>
          <w:b w:val="0"/>
          <w:i/>
          <w:sz w:val="24"/>
        </w:rPr>
        <w:t>E. coli</w:t>
      </w:r>
      <w:r>
        <w:rPr>
          <w:rFonts w:ascii="Times New Roman" w:hAnsi="Times New Roman"/>
          <w:b w:val="0"/>
          <w:i w:val="0"/>
          <w:sz w:val="24"/>
        </w:rPr>
        <w:t xml:space="preserve"> O157:H7 from bovine-origin foods in Ethiopia, confirming that the AMR burden in food-chain </w:t>
      </w:r>
      <w:r>
        <w:rPr>
          <w:rFonts w:ascii="Times New Roman" w:hAnsi="Times New Roman"/>
          <w:b w:val="0"/>
          <w:i/>
          <w:sz w:val="24"/>
        </w:rPr>
        <w:t>E. coli</w:t>
      </w:r>
      <w:r>
        <w:rPr>
          <w:rFonts w:ascii="Times New Roman" w:hAnsi="Times New Roman"/>
          <w:b w:val="0"/>
          <w:i w:val="0"/>
          <w:sz w:val="24"/>
        </w:rPr>
        <w:t xml:space="preserve"> is a shared challenge across sub-Saharan Africa.</w:t>
      </w:r>
    </w:p>
    <w:p>
      <w:pPr>
        <w:spacing w:before="0" w:after="120" w:line="480" w:lineRule="auto"/>
        <w:jc w:val="both"/>
      </w:pPr>
      <w:r>
        <w:rPr>
          <w:rFonts w:ascii="Times New Roman" w:hAnsi="Times New Roman"/>
          <w:b w:val="0"/>
          <w:i w:val="0"/>
          <w:sz w:val="24"/>
        </w:rPr>
        <w:t xml:space="preserve">In West and Central Africa, studies on MDR </w:t>
      </w:r>
      <w:r>
        <w:rPr>
          <w:rFonts w:ascii="Times New Roman" w:hAnsi="Times New Roman"/>
          <w:b w:val="0"/>
          <w:i/>
          <w:sz w:val="24"/>
        </w:rPr>
        <w:t>E. coli</w:t>
      </w:r>
      <w:r>
        <w:rPr>
          <w:rFonts w:ascii="Times New Roman" w:hAnsi="Times New Roman"/>
          <w:b w:val="0"/>
          <w:i w:val="0"/>
          <w:sz w:val="24"/>
        </w:rPr>
        <w:t xml:space="preserve"> in poultry litter and markets are of particular relevance to the present study. Moffo et al. (2021) documented </w:t>
      </w:r>
      <w:r>
        <w:rPr>
          <w:rFonts w:ascii="Times New Roman" w:hAnsi="Times New Roman"/>
          <w:b w:val="0"/>
          <w:i/>
          <w:sz w:val="24"/>
        </w:rPr>
        <w:t>E. coli</w:t>
      </w:r>
      <w:r>
        <w:rPr>
          <w:rFonts w:ascii="Times New Roman" w:hAnsi="Times New Roman"/>
          <w:b w:val="0"/>
          <w:i w:val="0"/>
          <w:sz w:val="24"/>
        </w:rPr>
        <w:t xml:space="preserve"> in poultry litter from commercial farms and markets in Cameroon that was resistant to fluoroquinolones and third-generation cephalosporins, antibiotics classified as critically important for human medicine by the WHO, and demonstrated that the public health risk from contact with such litter was substantial, given the widespread use of untreated poultry manure as agricultural fertilizer. Ngogang et al. (2021) investigated microbial contamination of chicken litter manure sold by vendors in an urban setting in Cameroon, documenting an AMR threat comparable to that of hospital environments, with MDR E. coli present in samples from all vendor locations surveyed. The methodology and epidemiological framing of the Ngogang et al. (2021) study bears direct relevance to the current investigation, which employs a similar vendor-market sampling framework in an analogous West African urban setting. The Lambraki et al. (2017) systematic review and meta-analysis of AMR in West Africa confirmed that </w:t>
      </w:r>
      <w:r>
        <w:rPr>
          <w:rFonts w:ascii="Times New Roman" w:hAnsi="Times New Roman"/>
          <w:b w:val="0"/>
          <w:i/>
          <w:sz w:val="24"/>
        </w:rPr>
        <w:t>E. coli</w:t>
      </w:r>
      <w:r>
        <w:rPr>
          <w:rFonts w:ascii="Times New Roman" w:hAnsi="Times New Roman"/>
          <w:b w:val="0"/>
          <w:i w:val="0"/>
          <w:sz w:val="24"/>
        </w:rPr>
        <w:t xml:space="preserve"> was among the organisms with the highest documented resistance rates in the region, particularly to ampicillin, tetracycline, and trimethoprim-sulfonamide combinations, a pattern consistent with the heavy use of these agents in the Nigerian poultry sector.</w:t>
      </w:r>
    </w:p>
    <w:p>
      <w:pPr>
        <w:spacing w:before="0" w:after="120" w:line="480" w:lineRule="auto"/>
        <w:jc w:val="both"/>
      </w:pPr>
      <w:r>
        <w:rPr>
          <w:rFonts w:ascii="Times New Roman" w:hAnsi="Times New Roman"/>
          <w:b w:val="0"/>
          <w:i w:val="0"/>
          <w:sz w:val="24"/>
        </w:rPr>
        <w:t xml:space="preserve">Within Nigeria, MDR </w:t>
      </w:r>
      <w:r>
        <w:rPr>
          <w:rFonts w:ascii="Times New Roman" w:hAnsi="Times New Roman"/>
          <w:b w:val="0"/>
          <w:i/>
          <w:sz w:val="24"/>
        </w:rPr>
        <w:t>E. coli</w:t>
      </w:r>
      <w:r>
        <w:rPr>
          <w:rFonts w:ascii="Times New Roman" w:hAnsi="Times New Roman"/>
          <w:b w:val="0"/>
          <w:i w:val="0"/>
          <w:sz w:val="24"/>
        </w:rPr>
        <w:t xml:space="preserve"> has been consistently reported from diverse poultry production and marketing settings. Agusi et al. (2024) reported a high prevalence of MDR </w:t>
      </w:r>
      <w:r>
        <w:rPr>
          <w:rFonts w:ascii="Times New Roman" w:hAnsi="Times New Roman"/>
          <w:b w:val="0"/>
          <w:i/>
          <w:sz w:val="24"/>
        </w:rPr>
        <w:t>E. coli</w:t>
      </w:r>
      <w:r>
        <w:rPr>
          <w:rFonts w:ascii="Times New Roman" w:hAnsi="Times New Roman"/>
          <w:b w:val="0"/>
          <w:i w:val="0"/>
          <w:sz w:val="24"/>
        </w:rPr>
        <w:t xml:space="preserve"> from poultry samples in Jos, Plateau State, with virulence genes co-occurring alongside resistance determinants, raising concern about the simultaneous selection for pathogenicity and AMR within the same bacterial population. Ajibola et al. (2025) similarly reported MDR </w:t>
      </w:r>
      <w:r>
        <w:rPr>
          <w:rFonts w:ascii="Times New Roman" w:hAnsi="Times New Roman"/>
          <w:b w:val="0"/>
          <w:i/>
          <w:sz w:val="24"/>
        </w:rPr>
        <w:t>E. coli</w:t>
      </w:r>
      <w:r>
        <w:rPr>
          <w:rFonts w:ascii="Times New Roman" w:hAnsi="Times New Roman"/>
          <w:b w:val="0"/>
          <w:i w:val="0"/>
          <w:sz w:val="24"/>
        </w:rPr>
        <w:t xml:space="preserve"> with diverse virulence gene profiles from poultry in Nigeria, emphasizing that the co-location of resistance and virulence attributes on mobile genetic elements amplifies the public health risk beyond that attributable to resistance alone. Tama et al. (2019) reported the molecular detection of extended-spectrum beta-lactamase (ESBL)-producing </w:t>
      </w:r>
      <w:r>
        <w:rPr>
          <w:rFonts w:ascii="Times New Roman" w:hAnsi="Times New Roman"/>
          <w:b w:val="0"/>
          <w:i/>
          <w:sz w:val="24"/>
        </w:rPr>
        <w:t>E. coli</w:t>
      </w:r>
      <w:r>
        <w:rPr>
          <w:rFonts w:ascii="Times New Roman" w:hAnsi="Times New Roman"/>
          <w:b w:val="0"/>
          <w:i w:val="0"/>
          <w:sz w:val="24"/>
        </w:rPr>
        <w:t xml:space="preserve"> from poultry droppings in Keffi, Nasarawa State, a finding that implicates the Nigerian poultry environment as a reservoir for ESBL producers capable of compromising treatment of third-generation cephalosporins, which are among the last-resort antibiotics for community-acquired infections in resource-limited settings. This is consistent with findings from other West African settings: Falgenhauer et al. (2019) detected ESBL-producing </w:t>
      </w:r>
      <w:r>
        <w:rPr>
          <w:rFonts w:ascii="Times New Roman" w:hAnsi="Times New Roman"/>
          <w:b w:val="0"/>
          <w:i/>
          <w:sz w:val="24"/>
        </w:rPr>
        <w:t>E. coli</w:t>
      </w:r>
      <w:r>
        <w:rPr>
          <w:rFonts w:ascii="Times New Roman" w:hAnsi="Times New Roman"/>
          <w:b w:val="0"/>
          <w:i w:val="0"/>
          <w:sz w:val="24"/>
        </w:rPr>
        <w:t xml:space="preserve"> in both humans and poultry in Ghana, with shared genetic elements indicating human-animal transmission, while Kilani et al. (2015) reported avian ESBL producers carrying </w:t>
      </w:r>
      <w:r>
        <w:rPr>
          <w:rFonts w:ascii="Times New Roman" w:hAnsi="Times New Roman"/>
          <w:b w:val="0"/>
          <w:i/>
          <w:sz w:val="24"/>
        </w:rPr>
        <w:t>bla</w:t>
      </w:r>
      <w:r>
        <w:rPr>
          <w:rFonts w:ascii="Times New Roman" w:hAnsi="Times New Roman"/>
          <w:b w:val="0"/>
          <w:i w:val="0"/>
          <w:sz w:val="24"/>
        </w:rPr>
        <w:t xml:space="preserve">CTX-M-1 and virulence genes from Tunisian poultry flocks, confirming that ESBL-producing avian </w:t>
      </w:r>
      <w:r>
        <w:rPr>
          <w:rFonts w:ascii="Times New Roman" w:hAnsi="Times New Roman"/>
          <w:b w:val="0"/>
          <w:i/>
          <w:sz w:val="24"/>
        </w:rPr>
        <w:t>E. coli</w:t>
      </w:r>
      <w:r>
        <w:rPr>
          <w:rFonts w:ascii="Times New Roman" w:hAnsi="Times New Roman"/>
          <w:b w:val="0"/>
          <w:i w:val="0"/>
          <w:sz w:val="24"/>
        </w:rPr>
        <w:t xml:space="preserve"> capable of animal-to-human dissemination via the food chain is an established feature of the African poultry AMR landscape. Afunwa et al. (2020), in a study of Gram-negative bacteria from bird droppings in commercial poultries in Enugu, Nigeria, documented MAR indices exceeding 0.2 in the majority of isolates, corroborating the pattern of high-risk antibiotic exposure environments in Nigerian commercial poultry. Okoye et al. (2025) detected MDR </w:t>
      </w:r>
      <w:r>
        <w:rPr>
          <w:rFonts w:ascii="Times New Roman" w:hAnsi="Times New Roman"/>
          <w:b w:val="0"/>
          <w:i/>
          <w:sz w:val="24"/>
        </w:rPr>
        <w:t>E. coli</w:t>
      </w:r>
      <w:r>
        <w:rPr>
          <w:rFonts w:ascii="Times New Roman" w:hAnsi="Times New Roman"/>
          <w:b w:val="0"/>
          <w:i w:val="0"/>
          <w:sz w:val="24"/>
        </w:rPr>
        <w:t xml:space="preserve"> O157:H7 in poultry faeces from live bird markets in Lagos, Nigeria, with resistance to fluoroquinolones and other critically important antimicrobials confirmed, further establishing that Nigerian poultry marketing settings harbour MDR </w:t>
      </w:r>
      <w:r>
        <w:rPr>
          <w:rFonts w:ascii="Times New Roman" w:hAnsi="Times New Roman"/>
          <w:b w:val="0"/>
          <w:i/>
          <w:sz w:val="24"/>
        </w:rPr>
        <w:t>E. coli</w:t>
      </w:r>
      <w:r>
        <w:rPr>
          <w:rFonts w:ascii="Times New Roman" w:hAnsi="Times New Roman"/>
          <w:b w:val="0"/>
          <w:i w:val="0"/>
          <w:sz w:val="24"/>
        </w:rPr>
        <w:t xml:space="preserve"> of direct public health significance. Yakubu et al. (2020) isolated MDR </w:t>
      </w:r>
      <w:r>
        <w:rPr>
          <w:rFonts w:ascii="Times New Roman" w:hAnsi="Times New Roman"/>
          <w:b w:val="0"/>
          <w:i/>
          <w:sz w:val="24"/>
        </w:rPr>
        <w:t>E. coli</w:t>
      </w:r>
      <w:r>
        <w:rPr>
          <w:rFonts w:ascii="Times New Roman" w:hAnsi="Times New Roman"/>
          <w:b w:val="0"/>
          <w:i w:val="0"/>
          <w:sz w:val="24"/>
        </w:rPr>
        <w:t xml:space="preserve"> from livestock in Kaduna State, the same geopolitical region as Zaria, providing a proximate local comparator that indicates a high endemic prevalence of MDR in the regional food-animal sector.</w:t>
      </w:r>
    </w:p>
    <w:p>
      <w:pPr>
        <w:spacing w:before="0" w:after="120" w:line="480" w:lineRule="auto"/>
        <w:jc w:val="both"/>
      </w:pPr>
      <w:r>
        <w:rPr>
          <w:rFonts w:ascii="Times New Roman" w:hAnsi="Times New Roman"/>
          <w:b w:val="0"/>
          <w:i w:val="0"/>
          <w:sz w:val="24"/>
        </w:rPr>
        <w:t xml:space="preserve">Specifically in Zaria, Ejeh et al. (2017) documented multiple antimicrobial resistance in </w:t>
      </w:r>
      <w:r>
        <w:rPr>
          <w:rFonts w:ascii="Times New Roman" w:hAnsi="Times New Roman"/>
          <w:b w:val="0"/>
          <w:i/>
          <w:sz w:val="24"/>
        </w:rPr>
        <w:t>E. coli</w:t>
      </w:r>
      <w:r>
        <w:rPr>
          <w:rFonts w:ascii="Times New Roman" w:hAnsi="Times New Roman"/>
          <w:b w:val="0"/>
          <w:i w:val="0"/>
          <w:sz w:val="24"/>
        </w:rPr>
        <w:t xml:space="preserve"> isolated from broilers and local chickens retailed along roadsides, with MAR indices exceeding 0.2, a recognized threshold for prior exposure to high-risk antibiotic environments, in the majority of isolates. This study, conducted in the same geographic area as the present investigation, establishes a baseline for MDR in poultry-associated </w:t>
      </w:r>
      <w:r>
        <w:rPr>
          <w:rFonts w:ascii="Times New Roman" w:hAnsi="Times New Roman"/>
          <w:b w:val="0"/>
          <w:i/>
          <w:sz w:val="24"/>
        </w:rPr>
        <w:t>E. coli</w:t>
      </w:r>
      <w:r>
        <w:rPr>
          <w:rFonts w:ascii="Times New Roman" w:hAnsi="Times New Roman"/>
          <w:b w:val="0"/>
          <w:i w:val="0"/>
          <w:sz w:val="24"/>
        </w:rPr>
        <w:t xml:space="preserve"> in Zaria. However, it focused on poultry carcasses at the point of retail sale, not on commercial manure sold by vendors, and did not investigate the molecular basis of resistance in terms of integron carriage. The present study addresses both of these gaps, targeting the manure vendor market as a distinct and previously uncharacterized exposure pathway in the local AMR landscape.</w:t>
      </w:r>
    </w:p>
    <w:p>
      <w:pPr>
        <w:spacing w:before="0" w:after="120" w:line="480" w:lineRule="auto"/>
        <w:jc w:val="both"/>
      </w:pPr>
      <w:r>
        <w:rPr>
          <w:rFonts w:ascii="Times New Roman" w:hAnsi="Times New Roman"/>
          <w:b w:val="0"/>
          <w:i w:val="0"/>
          <w:sz w:val="24"/>
        </w:rPr>
        <w:t xml:space="preserve">Notwithstanding the substantial body of literature on MDR </w:t>
      </w:r>
      <w:r>
        <w:rPr>
          <w:rFonts w:ascii="Times New Roman" w:hAnsi="Times New Roman"/>
          <w:b w:val="0"/>
          <w:i/>
          <w:sz w:val="24"/>
        </w:rPr>
        <w:t>E. coli</w:t>
      </w:r>
      <w:r>
        <w:rPr>
          <w:rFonts w:ascii="Times New Roman" w:hAnsi="Times New Roman"/>
          <w:b w:val="0"/>
          <w:i w:val="0"/>
          <w:sz w:val="24"/>
        </w:rPr>
        <w:t xml:space="preserve"> in Nigerian poultry, a critical gap persists: the characterization of MDR </w:t>
      </w:r>
      <w:r>
        <w:rPr>
          <w:rFonts w:ascii="Times New Roman" w:hAnsi="Times New Roman"/>
          <w:b w:val="0"/>
          <w:i/>
          <w:sz w:val="24"/>
        </w:rPr>
        <w:t>E. coli</w:t>
      </w:r>
      <w:r>
        <w:rPr>
          <w:rFonts w:ascii="Times New Roman" w:hAnsi="Times New Roman"/>
          <w:b w:val="0"/>
          <w:i w:val="0"/>
          <w:sz w:val="24"/>
        </w:rPr>
        <w:t xml:space="preserve"> in vendor-sourced commercial poultry manure, as a commodity traded through informal markets and applied to urban agricultural settings, has not been systematically undertaken in North-West Nigeria. This gap is particularly significant given the large volume of manure traded through vendor markets in cities such as Zaria, and the direct pathway this creates from the agricultural production environment to the urban household and food garden.</w:t>
      </w:r>
    </w:p>
    <w:p>
      <w:pPr>
        <w:pStyle w:val="Heading3"/>
        <w:spacing w:before="120" w:after="60" w:line="480" w:lineRule="auto"/>
        <w:jc w:val="left"/>
      </w:pPr>
      <w:r>
        <w:rPr>
          <w:rFonts w:ascii="Times New Roman" w:hAnsi="Times New Roman"/>
          <w:b/>
          <w:i w:val="0"/>
          <w:color w:val="000000"/>
          <w:sz w:val="24"/>
        </w:rPr>
        <w:t>2.4 Antibiotic Use in Poultry Production</w:t>
      </w:r>
    </w:p>
    <w:p>
      <w:pPr>
        <w:spacing w:before="0" w:after="120" w:line="480" w:lineRule="auto"/>
        <w:jc w:val="both"/>
      </w:pPr>
      <w:r>
        <w:rPr>
          <w:rFonts w:ascii="Times New Roman" w:hAnsi="Times New Roman"/>
          <w:b w:val="0"/>
          <w:i w:val="0"/>
          <w:sz w:val="24"/>
        </w:rPr>
        <w:t>The widespread use of antibiotics in commercial poultry production is the primary driver of the high AMR rates documented in poultry-associated bacteria globally. In commercial poultry operations, antibiotics are used for three broad purposes: (i) therapeutic treatment of confirmed or clinically suspected bacterial infections within a flock; (ii) prophylactic administration to flocks at risk of infection, particularly during periods of environmental stress, changes in flock composition, or following exposure to diseased animals; and (iii) sub-therapeutic administration at doses below the minimum inhibitory concentrations for their target organisms, historically used to promote weight gain and improve feed conversion efficiency (Hedman et al., 2020). It is this third category, growth promotion, that generates the most sustained and pervasive selective pressure for resistance, as sub-therapeutic concentrations of antibiotics provide an environment in which resistant mutants are selected over generations of bacterial replication without achieving the therapeutic concentrations required to eliminate the resistant population (Van Boeckel et al., 2015; Laxminarayan et al., 2013).</w:t>
      </w:r>
    </w:p>
    <w:p>
      <w:pPr>
        <w:spacing w:before="0" w:after="120" w:line="480" w:lineRule="auto"/>
        <w:jc w:val="both"/>
      </w:pPr>
      <w:r>
        <w:rPr>
          <w:rFonts w:ascii="Times New Roman" w:hAnsi="Times New Roman"/>
          <w:b w:val="0"/>
          <w:i w:val="0"/>
          <w:sz w:val="24"/>
        </w:rPr>
        <w:t>In Nigeria, the antibiotic use landscape in commercial poultry production is characterized by limited regulatory oversight, widespread over-the-counter availability of antimicrobials, and significant gaps in knowledge and practice among producers and veterinarians alike. Oluwasile et al. (2014) investigated antibiotic usage patterns in selected commercial poultry farms in Ogun State, South-West Nigeria, and found that tetracyclines, fluoroquinolones, and sulfonamides, all classified as critically or highly important antimicrobials for human medicine by the WHO, were the most frequently used antibiotic classes. Antibiotics were commonly administered without prior bacteriological diagnosis or antibiotic susceptibility testing, and at doses inconsistent with manufacturer recommendations, both of which are recognized risk factors for resistance selection (Oluwasile et al., 2014; Adesokan et al., 2015). Adesokan et al. (2015) corroborated these findings through a retrospective survey of antibiotic usage in livestock in south-western Nigeria, reporting that tetracyclines (33.6%), fluoroquinolones (26.5%), and beta-lactams/aminoglycosides (20.4%) accounted for the majority of antibiotics dispensed without veterinary prescription over a three-year study period. These findings likely reflect the situation in other Nigerian states, including Kaduna, given the structural similarities in smallholder and semi-commercial poultry production across the country.</w:t>
      </w:r>
    </w:p>
    <w:p>
      <w:pPr>
        <w:spacing w:before="0" w:after="120" w:line="480" w:lineRule="auto"/>
        <w:jc w:val="both"/>
      </w:pPr>
      <w:r>
        <w:rPr>
          <w:rFonts w:ascii="Times New Roman" w:hAnsi="Times New Roman"/>
          <w:b w:val="0"/>
          <w:i w:val="0"/>
          <w:sz w:val="24"/>
        </w:rPr>
        <w:t>The knowledge deficit among Nigerian veterinary practitioners compounds the problem of antibiotic misuse in poultry. Aworh et al. (2021) assessed the knowledge, attitude, and practices of veterinarians in Abuja, Nigeria regarding antimicrobial use and stewardship, and found that a substantial proportion reported prescribing antibiotics without laboratory confirmation of infection, using critical antibiotics such as fluoroquinolones as empirical first-line treatments, and lacking awareness of AMR surveillance protocols recommended by national and international bodies. This knowledge gap among professionals responsible for guiding antibiotic use decisions in livestock amplifies the risk of inappropriate antibiotic use and the consequent acceleration of resistance in food-animal populations (Aworh et al., 2021).</w:t>
      </w:r>
    </w:p>
    <w:p>
      <w:pPr>
        <w:spacing w:before="0" w:after="120" w:line="480" w:lineRule="auto"/>
        <w:jc w:val="both"/>
      </w:pPr>
      <w:r>
        <w:rPr>
          <w:rFonts w:ascii="Times New Roman" w:hAnsi="Times New Roman"/>
          <w:b w:val="0"/>
          <w:i w:val="0"/>
          <w:sz w:val="24"/>
        </w:rPr>
        <w:t>Globally, the trajectory of antibiotic use in food animals is upward. Van Boeckel et al. (2015) projected a 67% increase in total antimicrobial consumption in food animals globally between 2010 and 2030, driven primarily by the rapid intensification of livestock production in low- and middle-income countries. In Sub-Saharan Africa, the projected increase was among the highest globally, reflecting the transition from extensive smallholder production systems to more intensive commercial operations in response to growing urban demand for affordable animal protein (Tilman et al., 2011; Tiseo et al., 2020). Tiseo et al. (2020) projected global antimicrobial use in food animals to rise from 93,309 tonnes in 2017 to 105,596 tonnes by 2030, with the poultry sector accounting for the dominant share of the increase in low- and middle-income countries. Caudell et al. (2020), in a knowledge, attitudes, and practices survey across livestock systems in five African countries, demonstrated that farmers widely use antibiotics without prescription and lack awareness of AMR consequences, a behavioural driver of resistance that operates independently of regulatory frameworks. Hassan et al. (2021) similarly documented poor AMR knowledge and widespread non-prescription antibiotic use among commercial poultry farmers in Bangladesh, a finding with direct parallels to the Nigerian context described by Oluwasile et al. (2014) and Adesokan et al. (2015). This expansion of intensive poultry production without commensurate growth in regulatory capacity or antibiotic stewardship infrastructure creates conditions in which AMR is likely to escalate rapidly over the coming decades (Hedman et al., 2020). Understanding the current AMR baseline in poultry production environments, including manure vendor markets, is therefore an essential precondition for designing evidence-based intervention strategies.</w:t>
      </w:r>
    </w:p>
    <w:p>
      <w:pPr>
        <w:pStyle w:val="Heading3"/>
        <w:spacing w:before="120" w:after="60" w:line="480" w:lineRule="auto"/>
        <w:jc w:val="left"/>
      </w:pPr>
      <w:r>
        <w:rPr>
          <w:rFonts w:ascii="Times New Roman" w:hAnsi="Times New Roman"/>
          <w:b/>
          <w:i w:val="0"/>
          <w:color w:val="000000"/>
          <w:sz w:val="24"/>
        </w:rPr>
        <w:t>2.5 AMR Patterns in *Escherichia coli* from Poultry</w:t>
      </w:r>
    </w:p>
    <w:p>
      <w:pPr>
        <w:spacing w:before="0" w:after="120" w:line="480" w:lineRule="auto"/>
        <w:jc w:val="both"/>
      </w:pPr>
      <w:r>
        <w:rPr>
          <w:rFonts w:ascii="Times New Roman" w:hAnsi="Times New Roman"/>
          <w:b w:val="0"/>
          <w:i w:val="0"/>
          <w:sz w:val="24"/>
        </w:rPr>
        <w:t xml:space="preserve">The antimicrobial resistance phenotypes expressed by </w:t>
      </w:r>
      <w:r>
        <w:rPr>
          <w:rFonts w:ascii="Times New Roman" w:hAnsi="Times New Roman"/>
          <w:b w:val="0"/>
          <w:i/>
          <w:sz w:val="24"/>
        </w:rPr>
        <w:t>E. coli</w:t>
      </w:r>
      <w:r>
        <w:rPr>
          <w:rFonts w:ascii="Times New Roman" w:hAnsi="Times New Roman"/>
          <w:b w:val="0"/>
          <w:i w:val="0"/>
          <w:sz w:val="24"/>
        </w:rPr>
        <w:t xml:space="preserve"> from poultry environments reflect the history of antibiotic use in those environments and, by extension, the antibiotic classes most likely to have provided selective pressure. Resistance patterns documented across multiple studies show consistent predominance of resistance to tetracyclines, sulfonamides, fluoroquinolones, and aminoglycosides, the classes most widely used in commercial poultry globally (Oluwasile et al., 2014; Hedman et al., 2020).</w:t>
      </w:r>
    </w:p>
    <w:p>
      <w:pPr>
        <w:spacing w:before="0" w:after="120" w:line="480" w:lineRule="auto"/>
        <w:jc w:val="both"/>
      </w:pPr>
      <w:r>
        <w:rPr>
          <w:rFonts w:ascii="Times New Roman" w:hAnsi="Times New Roman"/>
          <w:b w:val="0"/>
          <w:i w:val="0"/>
          <w:sz w:val="24"/>
        </w:rPr>
        <w:t xml:space="preserve">Fluoroquinolone resistance, encompassing resistance to ciprofloxacin and nalidixic acid, is of particular clinical concern because fluoroquinolones are classified as critically important antimicrobials for human medicine by the WHO. Ciprofloxacin is used for the empirical treatment of severe urinary tract infections, enteric fever, and Gram-negative septicaemia in clinical practice, and its loss of efficacy due to resistance in commensal </w:t>
      </w:r>
      <w:r>
        <w:rPr>
          <w:rFonts w:ascii="Times New Roman" w:hAnsi="Times New Roman"/>
          <w:b w:val="0"/>
          <w:i/>
          <w:sz w:val="24"/>
        </w:rPr>
        <w:t>E. coli</w:t>
      </w:r>
      <w:r>
        <w:rPr>
          <w:rFonts w:ascii="Times New Roman" w:hAnsi="Times New Roman"/>
          <w:b w:val="0"/>
          <w:i w:val="0"/>
          <w:sz w:val="24"/>
        </w:rPr>
        <w:t xml:space="preserve"> from food animals has direct clinical consequences for human patients. Ejeh et al. (2017) documented high rates of fluoroquinolone resistance in </w:t>
      </w:r>
      <w:r>
        <w:rPr>
          <w:rFonts w:ascii="Times New Roman" w:hAnsi="Times New Roman"/>
          <w:b w:val="0"/>
          <w:i/>
          <w:sz w:val="24"/>
        </w:rPr>
        <w:t>E. coli</w:t>
      </w:r>
      <w:r>
        <w:rPr>
          <w:rFonts w:ascii="Times New Roman" w:hAnsi="Times New Roman"/>
          <w:b w:val="0"/>
          <w:i w:val="0"/>
          <w:sz w:val="24"/>
        </w:rPr>
        <w:t xml:space="preserve"> from poultry in Zaria, consistent with the widespread use of enrofloxacin and other veterinary fluoroquinolones in Nigerian commercial poultry. Agusi et al. (2024) similarly reported fluoroquinolone resistance as a prominent feature of MDR </w:t>
      </w:r>
      <w:r>
        <w:rPr>
          <w:rFonts w:ascii="Times New Roman" w:hAnsi="Times New Roman"/>
          <w:b w:val="0"/>
          <w:i/>
          <w:sz w:val="24"/>
        </w:rPr>
        <w:t>E. coli</w:t>
      </w:r>
      <w:r>
        <w:rPr>
          <w:rFonts w:ascii="Times New Roman" w:hAnsi="Times New Roman"/>
          <w:b w:val="0"/>
          <w:i w:val="0"/>
          <w:sz w:val="24"/>
        </w:rPr>
        <w:t xml:space="preserve"> from Nigerian poultry in Jos, while Moffo et al. (2021) documented fluoroquinolone resistance in </w:t>
      </w:r>
      <w:r>
        <w:rPr>
          <w:rFonts w:ascii="Times New Roman" w:hAnsi="Times New Roman"/>
          <w:b w:val="0"/>
          <w:i/>
          <w:sz w:val="24"/>
        </w:rPr>
        <w:t>E. coli</w:t>
      </w:r>
      <w:r>
        <w:rPr>
          <w:rFonts w:ascii="Times New Roman" w:hAnsi="Times New Roman"/>
          <w:b w:val="0"/>
          <w:i w:val="0"/>
          <w:sz w:val="24"/>
        </w:rPr>
        <w:t xml:space="preserve"> from poultry litter in Cameroon, a pattern that mirrors the Nigerian situation in terms of antibiotic use drivers and resistance outcomes.</w:t>
      </w:r>
    </w:p>
    <w:p>
      <w:pPr>
        <w:spacing w:before="0" w:after="120" w:line="480" w:lineRule="auto"/>
        <w:jc w:val="both"/>
      </w:pPr>
      <w:r>
        <w:rPr>
          <w:rFonts w:ascii="Times New Roman" w:hAnsi="Times New Roman"/>
          <w:b w:val="0"/>
          <w:i w:val="0"/>
          <w:sz w:val="24"/>
        </w:rPr>
        <w:t xml:space="preserve">Cotrimoxazole (SXT, trimethoprim-sulfonamide combination) resistance is among the most widely documented resistance traits in </w:t>
      </w:r>
      <w:r>
        <w:rPr>
          <w:rFonts w:ascii="Times New Roman" w:hAnsi="Times New Roman"/>
          <w:b w:val="0"/>
          <w:i/>
          <w:sz w:val="24"/>
        </w:rPr>
        <w:t>E. coli</w:t>
      </w:r>
      <w:r>
        <w:rPr>
          <w:rFonts w:ascii="Times New Roman" w:hAnsi="Times New Roman"/>
          <w:b w:val="0"/>
          <w:i w:val="0"/>
          <w:sz w:val="24"/>
        </w:rPr>
        <w:t xml:space="preserve"> from poultry environments globally and in Nigeria specifically. Sulfonamides have been used in poultry production since the 1940s, and decades of selective pressure have resulted in extremely high prevalence of resistance, frequently mediated by sul1, sul2, and sul3 genes, the first of which is characteristically carried on Class 1 integrons (Fonseca et al., 2005). The molecular linkage between sulfonamide resistance genes and integrons means that SXT resistance rates in </w:t>
      </w:r>
      <w:r>
        <w:rPr>
          <w:rFonts w:ascii="Times New Roman" w:hAnsi="Times New Roman"/>
          <w:b w:val="0"/>
          <w:i/>
          <w:sz w:val="24"/>
        </w:rPr>
        <w:t>E. coli</w:t>
      </w:r>
      <w:r>
        <w:rPr>
          <w:rFonts w:ascii="Times New Roman" w:hAnsi="Times New Roman"/>
          <w:b w:val="0"/>
          <w:i w:val="0"/>
          <w:sz w:val="24"/>
        </w:rPr>
        <w:t xml:space="preserve"> can serve as a proxy indicator for integron prevalence in the same population (Mbelle et al., 2019; Roe &amp; Pillai, 2003). Tama et al. (2019) documented high rates of cotrimoxazole resistance in ESBL-producing </w:t>
      </w:r>
      <w:r>
        <w:rPr>
          <w:rFonts w:ascii="Times New Roman" w:hAnsi="Times New Roman"/>
          <w:b w:val="0"/>
          <w:i/>
          <w:sz w:val="24"/>
        </w:rPr>
        <w:t>E. coli</w:t>
      </w:r>
      <w:r>
        <w:rPr>
          <w:rFonts w:ascii="Times New Roman" w:hAnsi="Times New Roman"/>
          <w:b w:val="0"/>
          <w:i w:val="0"/>
          <w:sz w:val="24"/>
        </w:rPr>
        <w:t xml:space="preserve"> from poultry droppings in Keffi, Nigeria, consistent with the pattern observed across multiple Nigerian poultry studies.</w:t>
      </w:r>
    </w:p>
    <w:p>
      <w:pPr>
        <w:spacing w:before="0" w:after="120" w:line="480" w:lineRule="auto"/>
        <w:jc w:val="both"/>
      </w:pPr>
      <w:r>
        <w:rPr>
          <w:rFonts w:ascii="Times New Roman" w:hAnsi="Times New Roman"/>
          <w:b w:val="0"/>
          <w:i w:val="0"/>
          <w:sz w:val="24"/>
        </w:rPr>
        <w:t xml:space="preserve">Cephalosporin resistance, particularly to third-generation agents such as ceftriaxone, is clinically alarming because it suggests the presence of ESBL-producing </w:t>
      </w:r>
      <w:r>
        <w:rPr>
          <w:rFonts w:ascii="Times New Roman" w:hAnsi="Times New Roman"/>
          <w:b w:val="0"/>
          <w:i/>
          <w:sz w:val="24"/>
        </w:rPr>
        <w:t>E. coli</w:t>
      </w:r>
      <w:r>
        <w:rPr>
          <w:rFonts w:ascii="Times New Roman" w:hAnsi="Times New Roman"/>
          <w:b w:val="0"/>
          <w:i w:val="0"/>
          <w:sz w:val="24"/>
        </w:rPr>
        <w:t xml:space="preserve"> that can compromise empirical treatment of hospital-acquired and community-acquired Gram-negative infections. Tama et al. (2019) used molecular methods to confirm ESBL production in </w:t>
      </w:r>
      <w:r>
        <w:rPr>
          <w:rFonts w:ascii="Times New Roman" w:hAnsi="Times New Roman"/>
          <w:b w:val="0"/>
          <w:i/>
          <w:sz w:val="24"/>
        </w:rPr>
        <w:t>E. coli</w:t>
      </w:r>
      <w:r>
        <w:rPr>
          <w:rFonts w:ascii="Times New Roman" w:hAnsi="Times New Roman"/>
          <w:b w:val="0"/>
          <w:i w:val="0"/>
          <w:sz w:val="24"/>
        </w:rPr>
        <w:t xml:space="preserve"> from Nigerian poultry droppings, establishing that the poultry environment in Nigeria is a reservoir for ESBL producers. The presence of ceftriaxone-resistant </w:t>
      </w:r>
      <w:r>
        <w:rPr>
          <w:rFonts w:ascii="Times New Roman" w:hAnsi="Times New Roman"/>
          <w:b w:val="0"/>
          <w:i/>
          <w:sz w:val="24"/>
        </w:rPr>
        <w:t>E. coli</w:t>
      </w:r>
      <w:r>
        <w:rPr>
          <w:rFonts w:ascii="Times New Roman" w:hAnsi="Times New Roman"/>
          <w:b w:val="0"/>
          <w:i w:val="0"/>
          <w:sz w:val="24"/>
        </w:rPr>
        <w:t xml:space="preserve"> in manure from commercial vendors in an urban setting would represent a significant public health risk given the potential for ESBL genes to spread via horizontal gene transfer to other bacteria in soil, water, and the human gut.</w:t>
      </w:r>
    </w:p>
    <w:p>
      <w:pPr>
        <w:spacing w:before="0" w:after="120" w:line="480" w:lineRule="auto"/>
        <w:jc w:val="both"/>
      </w:pPr>
      <w:r>
        <w:rPr>
          <w:rFonts w:ascii="Times New Roman" w:hAnsi="Times New Roman"/>
          <w:b w:val="0"/>
          <w:i w:val="0"/>
          <w:sz w:val="24"/>
        </w:rPr>
        <w:t>The Multiple Antibiotic Resistance (MAR) index, introduced by Krumperman in 1983 and reviewed by Roe and Pillai (2003) in the context of poultry AMR monitoring, is a standardized quantitative tool for expressing the degree of MDR in a bacterial isolate relative to the number of antibiotics tested. Calculated as the ratio of the number of antibiotics to which an isolate is resistant (</w:t>
      </w:r>
      <w:r>
        <w:rPr>
          <w:rFonts w:ascii="Times New Roman" w:hAnsi="Times New Roman"/>
          <w:b w:val="0"/>
          <w:i/>
          <w:sz w:val="24"/>
        </w:rPr>
        <w:t>a</w:t>
      </w:r>
      <w:r>
        <w:rPr>
          <w:rFonts w:ascii="Times New Roman" w:hAnsi="Times New Roman"/>
          <w:b w:val="0"/>
          <w:i w:val="0"/>
          <w:sz w:val="24"/>
        </w:rPr>
        <w:t>) to the total number of antibiotics tested (</w:t>
      </w:r>
      <w:r>
        <w:rPr>
          <w:rFonts w:ascii="Times New Roman" w:hAnsi="Times New Roman"/>
          <w:b w:val="0"/>
          <w:i/>
          <w:sz w:val="24"/>
        </w:rPr>
        <w:t>b</w:t>
      </w:r>
      <w:r>
        <w:rPr>
          <w:rFonts w:ascii="Times New Roman" w:hAnsi="Times New Roman"/>
          <w:b w:val="0"/>
          <w:i w:val="0"/>
          <w:sz w:val="24"/>
        </w:rPr>
        <w:t xml:space="preserve">) (i.e., MAR index = </w:t>
      </w:r>
      <w:r>
        <w:rPr>
          <w:rFonts w:ascii="Times New Roman" w:hAnsi="Times New Roman"/>
          <w:b w:val="0"/>
          <w:i/>
          <w:sz w:val="24"/>
        </w:rPr>
        <w:t>a</w:t>
      </w:r>
      <w:r>
        <w:rPr>
          <w:rFonts w:ascii="Times New Roman" w:hAnsi="Times New Roman"/>
          <w:b w:val="0"/>
          <w:i w:val="0"/>
          <w:sz w:val="24"/>
        </w:rPr>
        <w:t>/</w:t>
      </w:r>
      <w:r>
        <w:rPr>
          <w:rFonts w:ascii="Times New Roman" w:hAnsi="Times New Roman"/>
          <w:b w:val="0"/>
          <w:i/>
          <w:sz w:val="24"/>
        </w:rPr>
        <w:t>b</w:t>
      </w:r>
      <w:r>
        <w:rPr>
          <w:rFonts w:ascii="Times New Roman" w:hAnsi="Times New Roman"/>
          <w:b w:val="0"/>
          <w:i w:val="0"/>
          <w:sz w:val="24"/>
        </w:rPr>
        <w:t>), the index ranges from 0 (susceptible to all antibiotics tested) to 1 (resistant to all antibiotics tested). A MAR index threshold of greater than 0.2 is widely accepted as indicating that an isolate originates from a high-risk source environment where antibiotics are commonly used or misused (Roe &amp; Pillai, 2003). The MAR index thus provides a source-attribution dimension to antibiogram data, making it particularly valuable in environmental and food-animal AMR studies where the antibiotic use history of the source is an important contextual variable (Ejeh et al., 2017).</w:t>
      </w:r>
    </w:p>
    <w:p>
      <w:pPr>
        <w:pStyle w:val="Heading3"/>
        <w:spacing w:before="120" w:after="60" w:line="480" w:lineRule="auto"/>
        <w:jc w:val="left"/>
      </w:pPr>
      <w:r>
        <w:rPr>
          <w:rFonts w:ascii="Times New Roman" w:hAnsi="Times New Roman"/>
          <w:b/>
          <w:i w:val="0"/>
          <w:color w:val="000000"/>
          <w:sz w:val="24"/>
        </w:rPr>
        <w:t>2.6 Integrons: Overview and Classification</w:t>
      </w:r>
    </w:p>
    <w:p>
      <w:pPr>
        <w:spacing w:before="0" w:after="120" w:line="480" w:lineRule="auto"/>
        <w:jc w:val="both"/>
      </w:pPr>
      <w:r>
        <w:rPr>
          <w:rFonts w:ascii="Times New Roman" w:hAnsi="Times New Roman"/>
          <w:b w:val="0"/>
          <w:i w:val="0"/>
          <w:sz w:val="24"/>
        </w:rPr>
        <w:t>Integrons are mobile genetic elements that function as natural gene capture and expression platforms, enabling bacteria to acquire, accumulate, and express diverse resistance gene cassettes through a site-specific recombination mechanism (Fonseca et al., 2005). The structural organization of an integron consists of three core components: (i) the integrase gene (</w:t>
      </w:r>
      <w:r>
        <w:rPr>
          <w:rFonts w:ascii="Times New Roman" w:hAnsi="Times New Roman"/>
          <w:b w:val="0"/>
          <w:i/>
          <w:sz w:val="24"/>
        </w:rPr>
        <w:t>int</w:t>
      </w:r>
      <w:r>
        <w:rPr>
          <w:rFonts w:ascii="Times New Roman" w:hAnsi="Times New Roman"/>
          <w:b w:val="0"/>
          <w:i w:val="0"/>
          <w:sz w:val="24"/>
        </w:rPr>
        <w:t>), encoding a site-specific recombinase (IntI) that catalyzes the integration and excision of gene cassettes; (ii) the primary recombination site (</w:t>
      </w:r>
      <w:r>
        <w:rPr>
          <w:rFonts w:ascii="Times New Roman" w:hAnsi="Times New Roman"/>
          <w:b w:val="0"/>
          <w:i/>
          <w:sz w:val="24"/>
        </w:rPr>
        <w:t>attI</w:t>
      </w:r>
      <w:r>
        <w:rPr>
          <w:rFonts w:ascii="Times New Roman" w:hAnsi="Times New Roman"/>
          <w:b w:val="0"/>
          <w:i w:val="0"/>
          <w:sz w:val="24"/>
        </w:rPr>
        <w:t xml:space="preserve">), at which gene cassettes are inserted via IntI-mediated recombination with the cassette-associated </w:t>
      </w:r>
      <w:r>
        <w:rPr>
          <w:rFonts w:ascii="Times New Roman" w:hAnsi="Times New Roman"/>
          <w:b w:val="0"/>
          <w:i/>
          <w:sz w:val="24"/>
        </w:rPr>
        <w:t>attC</w:t>
      </w:r>
      <w:r>
        <w:rPr>
          <w:rFonts w:ascii="Times New Roman" w:hAnsi="Times New Roman"/>
          <w:b w:val="0"/>
          <w:i w:val="0"/>
          <w:sz w:val="24"/>
        </w:rPr>
        <w:t xml:space="preserve"> site; and (iii) a promoter (Pc) that drives the expression of inserted gene cassettes from the integron array (Lévesque et al., 1995; Fonseca et al., 2005). Resistance gene cassettes integrated at the </w:t>
      </w:r>
      <w:r>
        <w:rPr>
          <w:rFonts w:ascii="Times New Roman" w:hAnsi="Times New Roman"/>
          <w:b w:val="0"/>
          <w:i/>
          <w:sz w:val="24"/>
        </w:rPr>
        <w:t>attI</w:t>
      </w:r>
      <w:r>
        <w:rPr>
          <w:rFonts w:ascii="Times New Roman" w:hAnsi="Times New Roman"/>
          <w:b w:val="0"/>
          <w:i w:val="0"/>
          <w:sz w:val="24"/>
        </w:rPr>
        <w:t xml:space="preserve"> site are expressed as a polycistronic transcript from Pc, with the cassette closest to Pc expressing at the highest level. Multiple cassettes can be stacked sequentially within a single integron, enabling the coordinated expression of resistance to several antibiotic classes simultaneously from a single genetic locus.</w:t>
      </w:r>
    </w:p>
    <w:p>
      <w:pPr>
        <w:spacing w:before="0" w:after="120" w:line="480" w:lineRule="auto"/>
        <w:jc w:val="both"/>
      </w:pPr>
      <w:r>
        <w:rPr>
          <w:rFonts w:ascii="Times New Roman" w:hAnsi="Times New Roman"/>
          <w:b w:val="0"/>
          <w:i w:val="0"/>
          <w:sz w:val="24"/>
        </w:rPr>
        <w:t xml:space="preserve">Three major classes of integrons have been described in bacterial pathogens and environmental isolates, differentiated by the sequence of their integrase genes. Class 1 integrons are the most clinically and epidemiologically relevant, associated with a diverse and expanding repertoire of resistance gene cassettes and found across Gram-negative genera including </w:t>
      </w:r>
      <w:r>
        <w:rPr>
          <w:rFonts w:ascii="Times New Roman" w:hAnsi="Times New Roman"/>
          <w:b w:val="0"/>
          <w:i/>
          <w:sz w:val="24"/>
        </w:rPr>
        <w:t>Escherichia</w:t>
      </w:r>
      <w:r>
        <w:rPr>
          <w:rFonts w:ascii="Times New Roman" w:hAnsi="Times New Roman"/>
          <w:b w:val="0"/>
          <w:i w:val="0"/>
          <w:sz w:val="24"/>
        </w:rPr>
        <w:t xml:space="preserve">, </w:t>
      </w:r>
      <w:r>
        <w:rPr>
          <w:rFonts w:ascii="Times New Roman" w:hAnsi="Times New Roman"/>
          <w:b w:val="0"/>
          <w:i/>
          <w:sz w:val="24"/>
        </w:rPr>
        <w:t>Klebsiella</w:t>
      </w:r>
      <w:r>
        <w:rPr>
          <w:rFonts w:ascii="Times New Roman" w:hAnsi="Times New Roman"/>
          <w:b w:val="0"/>
          <w:i w:val="0"/>
          <w:sz w:val="24"/>
        </w:rPr>
        <w:t xml:space="preserve">, </w:t>
      </w:r>
      <w:r>
        <w:rPr>
          <w:rFonts w:ascii="Times New Roman" w:hAnsi="Times New Roman"/>
          <w:b w:val="0"/>
          <w:i/>
          <w:sz w:val="24"/>
        </w:rPr>
        <w:t>Salmonella</w:t>
      </w:r>
      <w:r>
        <w:rPr>
          <w:rFonts w:ascii="Times New Roman" w:hAnsi="Times New Roman"/>
          <w:b w:val="0"/>
          <w:i w:val="0"/>
          <w:sz w:val="24"/>
        </w:rPr>
        <w:t xml:space="preserve">, </w:t>
      </w:r>
      <w:r>
        <w:rPr>
          <w:rFonts w:ascii="Times New Roman" w:hAnsi="Times New Roman"/>
          <w:b w:val="0"/>
          <w:i/>
          <w:sz w:val="24"/>
        </w:rPr>
        <w:t>Pseudomonas</w:t>
      </w:r>
      <w:r>
        <w:rPr>
          <w:rFonts w:ascii="Times New Roman" w:hAnsi="Times New Roman"/>
          <w:b w:val="0"/>
          <w:i w:val="0"/>
          <w:sz w:val="24"/>
        </w:rPr>
        <w:t xml:space="preserve">, and </w:t>
      </w:r>
      <w:r>
        <w:rPr>
          <w:rFonts w:ascii="Times New Roman" w:hAnsi="Times New Roman"/>
          <w:b w:val="0"/>
          <w:i/>
          <w:sz w:val="24"/>
        </w:rPr>
        <w:t>Acinetobacter</w:t>
      </w:r>
      <w:r>
        <w:rPr>
          <w:rFonts w:ascii="Times New Roman" w:hAnsi="Times New Roman"/>
          <w:b w:val="0"/>
          <w:i w:val="0"/>
          <w:sz w:val="24"/>
        </w:rPr>
        <w:t xml:space="preserve"> in clinical, veterinary, and environmental contexts worldwide (Heuer et al., 2011; Goldstein et al., 2001). Class 2 integrons are structurally related to the Tn7 transposon and are characterized by an IntI2 integrase with reduced recombination activity; they carry a more limited but clinically significant repertoire of resistance cassettes and are more commonly associated with veterinary and food-animal isolates (Goldstein et al., 2001). Class 3 integrons are rare, primarily environmental in origin, and not yet of direct clinical relevance (Lévesque et al., 1995). The present study focuses on Class 1 and Class 2 integrons as the most epidemiologically significant in food-animal environments.</w:t>
      </w:r>
    </w:p>
    <w:p>
      <w:pPr>
        <w:spacing w:before="0" w:after="120" w:line="480" w:lineRule="auto"/>
        <w:jc w:val="both"/>
      </w:pPr>
      <w:r>
        <w:rPr>
          <w:rFonts w:ascii="Times New Roman" w:hAnsi="Times New Roman"/>
          <w:b w:val="0"/>
          <w:i w:val="0"/>
          <w:sz w:val="24"/>
        </w:rPr>
        <w:t>A critical feature that elevates integrons above other resistance mechanisms in terms of public health risk is their frequent association with transferable mobile genetic elements, including conjugative plasmids, transposons, and insertion sequences, that enable horizontal transfer of the entire integron, with all its resident gene cassettes, to recipient bacteria in the same or different species (Heuer et al., 2011; Roe &amp; Pillai, 2003). This capacity for integron-associated horizontal gene transfer means that a single conjugation event can confer resistance to multiple antibiotic classes simultaneously in a previously susceptible recipient, dramatically accelerating the spread of MDR in microbial communities (Cheng et al., 2019). The environmental reservoir of integron-bearing bacteria in poultry manure thus represents not merely a static AMR burden but a dynamic source of resistance gene transfer potential that can continuously remodel the resistance profiles of bacteria in soil, water, and associated microbial communities.</w:t>
      </w:r>
    </w:p>
    <w:p>
      <w:pPr>
        <w:pStyle w:val="Heading3"/>
        <w:spacing w:before="120" w:after="60" w:line="480" w:lineRule="auto"/>
        <w:jc w:val="left"/>
      </w:pPr>
      <w:r>
        <w:rPr>
          <w:rFonts w:ascii="Times New Roman" w:hAnsi="Times New Roman"/>
          <w:b/>
          <w:i w:val="0"/>
          <w:color w:val="000000"/>
          <w:sz w:val="24"/>
        </w:rPr>
        <w:t>2.7 Class 1 Integrons in Poultry Environments</w:t>
      </w:r>
    </w:p>
    <w:p>
      <w:pPr>
        <w:spacing w:before="0" w:after="120" w:line="480" w:lineRule="auto"/>
        <w:jc w:val="both"/>
      </w:pPr>
      <w:r>
        <w:rPr>
          <w:rFonts w:ascii="Times New Roman" w:hAnsi="Times New Roman"/>
          <w:b w:val="0"/>
          <w:i w:val="0"/>
          <w:sz w:val="24"/>
        </w:rPr>
        <w:t xml:space="preserve">Class 1 integrons are the most globally prevalent integron class in both clinical and veterinary bacterial isolates, and their dominance among </w:t>
      </w:r>
      <w:r>
        <w:rPr>
          <w:rFonts w:ascii="Times New Roman" w:hAnsi="Times New Roman"/>
          <w:b w:val="0"/>
          <w:i/>
          <w:sz w:val="24"/>
        </w:rPr>
        <w:t>E. coli</w:t>
      </w:r>
      <w:r>
        <w:rPr>
          <w:rFonts w:ascii="Times New Roman" w:hAnsi="Times New Roman"/>
          <w:b w:val="0"/>
          <w:i w:val="0"/>
          <w:sz w:val="24"/>
        </w:rPr>
        <w:t xml:space="preserve"> from poultry environments has been consistently documented across diverse geographic settings. The structural hallmarks of Class 1 integrons include the </w:t>
      </w:r>
      <w:r>
        <w:rPr>
          <w:rFonts w:ascii="Times New Roman" w:hAnsi="Times New Roman"/>
          <w:b w:val="0"/>
          <w:i/>
          <w:sz w:val="24"/>
        </w:rPr>
        <w:t>intI1</w:t>
      </w:r>
      <w:r>
        <w:rPr>
          <w:rFonts w:ascii="Times New Roman" w:hAnsi="Times New Roman"/>
          <w:b w:val="0"/>
          <w:i w:val="0"/>
          <w:sz w:val="24"/>
        </w:rPr>
        <w:t xml:space="preserve"> integrase gene at the 5′ conserved segment, a variable gene cassette array at the insertion site, and a 3′ conserved segment carrying the </w:t>
      </w:r>
      <w:r>
        <w:rPr>
          <w:rFonts w:ascii="Times New Roman" w:hAnsi="Times New Roman"/>
          <w:b w:val="0"/>
          <w:i/>
          <w:sz w:val="24"/>
        </w:rPr>
        <w:t>qacEΔ1</w:t>
      </w:r>
      <w:r>
        <w:rPr>
          <w:rFonts w:ascii="Times New Roman" w:hAnsi="Times New Roman"/>
          <w:b w:val="0"/>
          <w:i w:val="0"/>
          <w:sz w:val="24"/>
        </w:rPr>
        <w:t xml:space="preserve"> gene (encoding resistance to quaternary ammonium compounds) and the </w:t>
      </w:r>
      <w:r>
        <w:rPr>
          <w:rFonts w:ascii="Times New Roman" w:hAnsi="Times New Roman"/>
          <w:b w:val="0"/>
          <w:i/>
          <w:sz w:val="24"/>
        </w:rPr>
        <w:t>sul1</w:t>
      </w:r>
      <w:r>
        <w:rPr>
          <w:rFonts w:ascii="Times New Roman" w:hAnsi="Times New Roman"/>
          <w:b w:val="0"/>
          <w:i w:val="0"/>
          <w:sz w:val="24"/>
        </w:rPr>
        <w:t xml:space="preserve"> gene (conferring sulfonamide resistance) (Fonseca et al., 2005). The invariable presence of </w:t>
      </w:r>
      <w:r>
        <w:rPr>
          <w:rFonts w:ascii="Times New Roman" w:hAnsi="Times New Roman"/>
          <w:b w:val="0"/>
          <w:i/>
          <w:sz w:val="24"/>
        </w:rPr>
        <w:t>sul1</w:t>
      </w:r>
      <w:r>
        <w:rPr>
          <w:rFonts w:ascii="Times New Roman" w:hAnsi="Times New Roman"/>
          <w:b w:val="0"/>
          <w:i w:val="0"/>
          <w:sz w:val="24"/>
        </w:rPr>
        <w:t xml:space="preserve"> in the 3′ conserved segment of Class 1 integrons means that all Class 1 integron-bearing isolates, regardless of the gene cassettes they carry, will exhibit sulfonamide resistance as a minimum phenotype, a feature exploited in surveillance studies to screen for integron carriage using antibiogram data (Roe &amp; Pillai, 2003).</w:t>
      </w:r>
    </w:p>
    <w:p>
      <w:pPr>
        <w:spacing w:before="0" w:after="120" w:line="480" w:lineRule="auto"/>
        <w:jc w:val="both"/>
      </w:pPr>
      <w:r>
        <w:rPr>
          <w:rFonts w:ascii="Times New Roman" w:hAnsi="Times New Roman"/>
          <w:b w:val="0"/>
          <w:i w:val="0"/>
          <w:sz w:val="24"/>
        </w:rPr>
        <w:t xml:space="preserve">The resistance gene cassettes most commonly documented in Class 1 integrons from </w:t>
      </w:r>
      <w:r>
        <w:rPr>
          <w:rFonts w:ascii="Times New Roman" w:hAnsi="Times New Roman"/>
          <w:b w:val="0"/>
          <w:i/>
          <w:sz w:val="24"/>
        </w:rPr>
        <w:t>E. coli</w:t>
      </w:r>
      <w:r>
        <w:rPr>
          <w:rFonts w:ascii="Times New Roman" w:hAnsi="Times New Roman"/>
          <w:b w:val="0"/>
          <w:i w:val="0"/>
          <w:sz w:val="24"/>
        </w:rPr>
        <w:t xml:space="preserve"> of food-animal origin include: </w:t>
      </w:r>
      <w:r>
        <w:rPr>
          <w:rFonts w:ascii="Times New Roman" w:hAnsi="Times New Roman"/>
          <w:b w:val="0"/>
          <w:i/>
          <w:sz w:val="24"/>
        </w:rPr>
        <w:t>aadA</w:t>
      </w:r>
      <w:r>
        <w:rPr>
          <w:rFonts w:ascii="Times New Roman" w:hAnsi="Times New Roman"/>
          <w:b w:val="0"/>
          <w:i w:val="0"/>
          <w:sz w:val="24"/>
        </w:rPr>
        <w:t xml:space="preserve"> genes (aadA1, aadA2, aadA5) encoding aminoglycoside 3′-adenylyltransferases that confer resistance to streptomycin and spectinomycin; </w:t>
      </w:r>
      <w:r>
        <w:rPr>
          <w:rFonts w:ascii="Times New Roman" w:hAnsi="Times New Roman"/>
          <w:b w:val="0"/>
          <w:i/>
          <w:sz w:val="24"/>
        </w:rPr>
        <w:t>dfrA</w:t>
      </w:r>
      <w:r>
        <w:rPr>
          <w:rFonts w:ascii="Times New Roman" w:hAnsi="Times New Roman"/>
          <w:b w:val="0"/>
          <w:i w:val="0"/>
          <w:sz w:val="24"/>
        </w:rPr>
        <w:t xml:space="preserve"> genes (dfrA1, dfrA7, dfrA12, dfrA17) encoding dihydrofolate reductases conferring trimethoprim resistance; </w:t>
      </w:r>
      <w:r>
        <w:rPr>
          <w:rFonts w:ascii="Times New Roman" w:hAnsi="Times New Roman"/>
          <w:b w:val="0"/>
          <w:i/>
          <w:sz w:val="24"/>
        </w:rPr>
        <w:t>blaOXA</w:t>
      </w:r>
      <w:r>
        <w:rPr>
          <w:rFonts w:ascii="Times New Roman" w:hAnsi="Times New Roman"/>
          <w:b w:val="0"/>
          <w:i w:val="0"/>
          <w:sz w:val="24"/>
        </w:rPr>
        <w:t xml:space="preserve"> genes encoding oxacillinases conferring resistance to narrow-spectrum beta-lactams; and </w:t>
      </w:r>
      <w:r>
        <w:rPr>
          <w:rFonts w:ascii="Times New Roman" w:hAnsi="Times New Roman"/>
          <w:b w:val="0"/>
          <w:i/>
          <w:sz w:val="24"/>
        </w:rPr>
        <w:t>linF</w:t>
      </w:r>
      <w:r>
        <w:rPr>
          <w:rFonts w:ascii="Times New Roman" w:hAnsi="Times New Roman"/>
          <w:b w:val="0"/>
          <w:i w:val="0"/>
          <w:sz w:val="24"/>
        </w:rPr>
        <w:t xml:space="preserve"> genes encoding lincosamide resistance (Fonseca et al., 2005; Goldstein et al., 2001). The co-occurrence of </w:t>
      </w:r>
      <w:r>
        <w:rPr>
          <w:rFonts w:ascii="Times New Roman" w:hAnsi="Times New Roman"/>
          <w:b w:val="0"/>
          <w:i/>
          <w:sz w:val="24"/>
        </w:rPr>
        <w:t>aadA</w:t>
      </w:r>
      <w:r>
        <w:rPr>
          <w:rFonts w:ascii="Times New Roman" w:hAnsi="Times New Roman"/>
          <w:b w:val="0"/>
          <w:i w:val="0"/>
          <w:sz w:val="24"/>
        </w:rPr>
        <w:t xml:space="preserve"> and </w:t>
      </w:r>
      <w:r>
        <w:rPr>
          <w:rFonts w:ascii="Times New Roman" w:hAnsi="Times New Roman"/>
          <w:b w:val="0"/>
          <w:i/>
          <w:sz w:val="24"/>
        </w:rPr>
        <w:t>dfrA</w:t>
      </w:r>
      <w:r>
        <w:rPr>
          <w:rFonts w:ascii="Times New Roman" w:hAnsi="Times New Roman"/>
          <w:b w:val="0"/>
          <w:i w:val="0"/>
          <w:sz w:val="24"/>
        </w:rPr>
        <w:t xml:space="preserve"> cassettes within the same integron, creating the so-called </w:t>
      </w:r>
      <w:r>
        <w:rPr>
          <w:rFonts w:ascii="Times New Roman" w:hAnsi="Times New Roman"/>
          <w:b w:val="0"/>
          <w:i/>
          <w:sz w:val="24"/>
        </w:rPr>
        <w:t>dfrA</w:t>
      </w:r>
      <w:r>
        <w:rPr>
          <w:rFonts w:ascii="Times New Roman" w:hAnsi="Times New Roman"/>
          <w:b w:val="0"/>
          <w:i w:val="0"/>
          <w:sz w:val="24"/>
        </w:rPr>
        <w:t>-</w:t>
      </w:r>
      <w:r>
        <w:rPr>
          <w:rFonts w:ascii="Times New Roman" w:hAnsi="Times New Roman"/>
          <w:b w:val="0"/>
          <w:i/>
          <w:sz w:val="24"/>
        </w:rPr>
        <w:t>aadA</w:t>
      </w:r>
      <w:r>
        <w:rPr>
          <w:rFonts w:ascii="Times New Roman" w:hAnsi="Times New Roman"/>
          <w:b w:val="0"/>
          <w:i w:val="0"/>
          <w:sz w:val="24"/>
        </w:rPr>
        <w:t xml:space="preserve"> cassette array, is particularly common in environmental and food-animal </w:t>
      </w:r>
      <w:r>
        <w:rPr>
          <w:rFonts w:ascii="Times New Roman" w:hAnsi="Times New Roman"/>
          <w:b w:val="0"/>
          <w:i/>
          <w:sz w:val="24"/>
        </w:rPr>
        <w:t>E. coli</w:t>
      </w:r>
      <w:r>
        <w:rPr>
          <w:rFonts w:ascii="Times New Roman" w:hAnsi="Times New Roman"/>
          <w:b w:val="0"/>
          <w:i w:val="0"/>
          <w:sz w:val="24"/>
        </w:rPr>
        <w:t xml:space="preserve"> and accounts for the frequent co-resistance to trimethoprim, sulfonamides, and aminoglycosides observed in MDR poultry isolates.</w:t>
      </w:r>
    </w:p>
    <w:p>
      <w:pPr>
        <w:spacing w:before="0" w:after="120" w:line="480" w:lineRule="auto"/>
        <w:jc w:val="both"/>
      </w:pPr>
      <w:r>
        <w:rPr>
          <w:rFonts w:ascii="Times New Roman" w:hAnsi="Times New Roman"/>
          <w:b w:val="0"/>
          <w:i w:val="0"/>
          <w:sz w:val="24"/>
        </w:rPr>
        <w:t xml:space="preserve">Goldstein et al. (2001) characterized the integron In53 in </w:t>
      </w:r>
      <w:r>
        <w:rPr>
          <w:rFonts w:ascii="Times New Roman" w:hAnsi="Times New Roman"/>
          <w:b w:val="0"/>
          <w:i/>
          <w:sz w:val="24"/>
        </w:rPr>
        <w:t>E. coli</w:t>
      </w:r>
      <w:r>
        <w:rPr>
          <w:rFonts w:ascii="Times New Roman" w:hAnsi="Times New Roman"/>
          <w:b w:val="0"/>
          <w:i w:val="0"/>
          <w:sz w:val="24"/>
        </w:rPr>
        <w:t xml:space="preserve"> from a food-animal environment, demonstrating that a single Class 1 integron could carry an unusually diverse array of gene cassettes spanning resistance to aminoglycosides, lincosamides, and beta-lactams, and that this integron was located on a conjugative plasmid capable of transferring resistance to naïve recipients. This work established the paradigm of plasmid-borne Class 1 integrons as vehicles for the horizontal dissemination of complex MDR gene arrays in food-animal environments, a paradigm subsequently confirmed in numerous studies of poultry-associated </w:t>
      </w:r>
      <w:r>
        <w:rPr>
          <w:rFonts w:ascii="Times New Roman" w:hAnsi="Times New Roman"/>
          <w:b w:val="0"/>
          <w:i/>
          <w:sz w:val="24"/>
        </w:rPr>
        <w:t>E. coli</w:t>
      </w:r>
      <w:r>
        <w:rPr>
          <w:rFonts w:ascii="Times New Roman" w:hAnsi="Times New Roman"/>
          <w:b w:val="0"/>
          <w:i w:val="0"/>
          <w:sz w:val="24"/>
        </w:rPr>
        <w:t>.</w:t>
      </w:r>
    </w:p>
    <w:p>
      <w:pPr>
        <w:spacing w:before="0" w:after="120" w:line="480" w:lineRule="auto"/>
        <w:jc w:val="both"/>
      </w:pPr>
      <w:r>
        <w:rPr>
          <w:rFonts w:ascii="Times New Roman" w:hAnsi="Times New Roman"/>
          <w:b w:val="0"/>
          <w:i w:val="0"/>
          <w:sz w:val="24"/>
        </w:rPr>
        <w:t xml:space="preserve">The PCR-based detection of Class 1 integrons has been standardized using primers targeting the </w:t>
      </w:r>
      <w:r>
        <w:rPr>
          <w:rFonts w:ascii="Times New Roman" w:hAnsi="Times New Roman"/>
          <w:b w:val="0"/>
          <w:i/>
          <w:sz w:val="24"/>
        </w:rPr>
        <w:t>intI1</w:t>
      </w:r>
      <w:r>
        <w:rPr>
          <w:rFonts w:ascii="Times New Roman" w:hAnsi="Times New Roman"/>
          <w:b w:val="0"/>
          <w:i w:val="0"/>
          <w:sz w:val="24"/>
        </w:rPr>
        <w:t xml:space="preserve"> integrase gene or the gene cassette region. Fonseca et al. (2005) described a PCR method using primers CSL1 (forward) and CSR1 (reverse), which amplify a fragment spanning the </w:t>
      </w:r>
      <w:r>
        <w:rPr>
          <w:rFonts w:ascii="Times New Roman" w:hAnsi="Times New Roman"/>
          <w:b w:val="0"/>
          <w:i/>
          <w:sz w:val="24"/>
        </w:rPr>
        <w:t>intI1</w:t>
      </w:r>
      <w:r>
        <w:rPr>
          <w:rFonts w:ascii="Times New Roman" w:hAnsi="Times New Roman"/>
          <w:b w:val="0"/>
          <w:i w:val="0"/>
          <w:sz w:val="24"/>
        </w:rPr>
        <w:t xml:space="preserve"> integrase gene and a portion of the gene cassette insertion site, generating an amplicon of approximately 1,100 base pairs in Class 1 integron-positive isolates. This method has been widely adopted in environmental and veterinary AMR research for its specificity, reproducibility, and simplicity, and was employed in the present study for the detection of Class 1 integrons in MDR </w:t>
      </w:r>
      <w:r>
        <w:rPr>
          <w:rFonts w:ascii="Times New Roman" w:hAnsi="Times New Roman"/>
          <w:b w:val="0"/>
          <w:i/>
          <w:sz w:val="24"/>
        </w:rPr>
        <w:t>E. coli</w:t>
      </w:r>
      <w:r>
        <w:rPr>
          <w:rFonts w:ascii="Times New Roman" w:hAnsi="Times New Roman"/>
          <w:b w:val="0"/>
          <w:i w:val="0"/>
          <w:sz w:val="24"/>
        </w:rPr>
        <w:t xml:space="preserve"> isolates.</w:t>
      </w:r>
    </w:p>
    <w:p>
      <w:pPr>
        <w:spacing w:before="0" w:after="120" w:line="480" w:lineRule="auto"/>
        <w:jc w:val="both"/>
      </w:pPr>
      <w:r>
        <w:rPr>
          <w:rFonts w:ascii="Times New Roman" w:hAnsi="Times New Roman"/>
          <w:b w:val="0"/>
          <w:i w:val="0"/>
          <w:sz w:val="24"/>
        </w:rPr>
        <w:t xml:space="preserve">The prevalence of Class 1 integrons in </w:t>
      </w:r>
      <w:r>
        <w:rPr>
          <w:rFonts w:ascii="Times New Roman" w:hAnsi="Times New Roman"/>
          <w:b w:val="0"/>
          <w:i/>
          <w:sz w:val="24"/>
        </w:rPr>
        <w:t>E. coli</w:t>
      </w:r>
      <w:r>
        <w:rPr>
          <w:rFonts w:ascii="Times New Roman" w:hAnsi="Times New Roman"/>
          <w:b w:val="0"/>
          <w:i w:val="0"/>
          <w:sz w:val="24"/>
        </w:rPr>
        <w:t xml:space="preserve"> from poultry environments has been documented at consistently high levels across Africa and other low- and middle-income regions. Mbelle et al. (2019) used whole-genome sequencing to characterize the resistome of MDR </w:t>
      </w:r>
      <w:r>
        <w:rPr>
          <w:rFonts w:ascii="Times New Roman" w:hAnsi="Times New Roman"/>
          <w:b w:val="0"/>
          <w:i/>
          <w:sz w:val="24"/>
        </w:rPr>
        <w:t>E. coli</w:t>
      </w:r>
      <w:r>
        <w:rPr>
          <w:rFonts w:ascii="Times New Roman" w:hAnsi="Times New Roman"/>
          <w:b w:val="0"/>
          <w:i w:val="0"/>
          <w:sz w:val="24"/>
        </w:rPr>
        <w:t xml:space="preserve"> clinical isolates from South Africa and demonstrated that Class 1 integrons were among the most prevalent resistance-associated mobile elements, carrying cassette arrays that conferred simultaneous resistance to aminoglycosides, trimethoprim, and sulfonamides, resistance profiles consistent with those observed in </w:t>
      </w:r>
      <w:r>
        <w:rPr>
          <w:rFonts w:ascii="Times New Roman" w:hAnsi="Times New Roman"/>
          <w:b w:val="0"/>
          <w:i/>
          <w:sz w:val="24"/>
        </w:rPr>
        <w:t>E. coli</w:t>
      </w:r>
      <w:r>
        <w:rPr>
          <w:rFonts w:ascii="Times New Roman" w:hAnsi="Times New Roman"/>
          <w:b w:val="0"/>
          <w:i w:val="0"/>
          <w:sz w:val="24"/>
        </w:rPr>
        <w:t xml:space="preserve"> from poultry environments in the same region. In the soil environment, Jechalke et al. (2013) demonstrated that the field application of manure from antibiotic-treated pigs led to a significant increase in the abundance and transferability of integron-associated resistance genes, including </w:t>
      </w:r>
      <w:r>
        <w:rPr>
          <w:rFonts w:ascii="Times New Roman" w:hAnsi="Times New Roman"/>
          <w:b w:val="0"/>
          <w:i/>
          <w:sz w:val="24"/>
        </w:rPr>
        <w:t>intI1</w:t>
      </w:r>
      <w:r>
        <w:rPr>
          <w:rFonts w:ascii="Times New Roman" w:hAnsi="Times New Roman"/>
          <w:b w:val="0"/>
          <w:i w:val="0"/>
          <w:sz w:val="24"/>
        </w:rPr>
        <w:t xml:space="preserve"> and its associated cassettes, in agricultural soil microbial communities. This finding implies that Class 1 integrons in poultry manure sold by vendors and applied to urban gardens in Zaria Metropolis may similarly augment integron abundance and horizontal gene transfer potential in local soil ecosystems. In the context of poultry litter specifically, Heuer et al. (2011) demonstrated that manure application to agricultural fields promoted the persistence and transfer of integron-associated ARGs in soil, providing a mechanistic basis for the environmental dissemination of Class 1 integron-borne resistance from poultry manure to the broader environmental microbiome. Studies in diverse food-animal settings have consistently documented high Class 1 integron prevalence in MDR </w:t>
      </w:r>
      <w:r>
        <w:rPr>
          <w:rFonts w:ascii="Times New Roman" w:hAnsi="Times New Roman"/>
          <w:b w:val="0"/>
          <w:i/>
          <w:sz w:val="24"/>
        </w:rPr>
        <w:t>E. coli</w:t>
      </w:r>
      <w:r>
        <w:rPr>
          <w:rFonts w:ascii="Times New Roman" w:hAnsi="Times New Roman"/>
          <w:b w:val="0"/>
          <w:i w:val="0"/>
          <w:sz w:val="24"/>
        </w:rPr>
        <w:t xml:space="preserve"> from poultry: Cavicchio et al. (2015) detected Class 1 integrons in avian pathogenic </w:t>
      </w:r>
      <w:r>
        <w:rPr>
          <w:rFonts w:ascii="Times New Roman" w:hAnsi="Times New Roman"/>
          <w:b w:val="0"/>
          <w:i/>
          <w:sz w:val="24"/>
        </w:rPr>
        <w:t>E. coli</w:t>
      </w:r>
      <w:r>
        <w:rPr>
          <w:rFonts w:ascii="Times New Roman" w:hAnsi="Times New Roman"/>
          <w:b w:val="0"/>
          <w:i w:val="0"/>
          <w:sz w:val="24"/>
        </w:rPr>
        <w:t xml:space="preserve"> from Italian poultry, identifying 15 distinct gene cassette arrays including those conferring resistance to aminoglycosides and trimethoprim; Racewicz et al. (2022) reported Class 1 integrons as a dominant molecular feature of multiresistant </w:t>
      </w:r>
      <w:r>
        <w:rPr>
          <w:rFonts w:ascii="Times New Roman" w:hAnsi="Times New Roman"/>
          <w:b w:val="0"/>
          <w:i/>
          <w:sz w:val="24"/>
        </w:rPr>
        <w:t>E. coli</w:t>
      </w:r>
      <w:r>
        <w:rPr>
          <w:rFonts w:ascii="Times New Roman" w:hAnsi="Times New Roman"/>
          <w:b w:val="0"/>
          <w:i w:val="0"/>
          <w:sz w:val="24"/>
        </w:rPr>
        <w:t xml:space="preserve"> from poultry litter, cloacal swabs, and meat in Poland, strongly associating integron presence with MDR phenotypes; Wu et al. (2015) documented integrons in drug-resistant </w:t>
      </w:r>
      <w:r>
        <w:rPr>
          <w:rFonts w:ascii="Times New Roman" w:hAnsi="Times New Roman"/>
          <w:b w:val="0"/>
          <w:i/>
          <w:sz w:val="24"/>
        </w:rPr>
        <w:t>E. coli</w:t>
      </w:r>
      <w:r>
        <w:rPr>
          <w:rFonts w:ascii="Times New Roman" w:hAnsi="Times New Roman"/>
          <w:b w:val="0"/>
          <w:i w:val="0"/>
          <w:sz w:val="24"/>
        </w:rPr>
        <w:t xml:space="preserve"> from broiler carcasses in China, demonstrating that integron-associated gene cassettes were major contributors to the diverse multidrug resistance patterns observed; and Antony (2025) detected Class 1 integrons in MDR </w:t>
      </w:r>
      <w:r>
        <w:rPr>
          <w:rFonts w:ascii="Times New Roman" w:hAnsi="Times New Roman"/>
          <w:b w:val="0"/>
          <w:i/>
          <w:sz w:val="24"/>
        </w:rPr>
        <w:t>E. coli</w:t>
      </w:r>
      <w:r>
        <w:rPr>
          <w:rFonts w:ascii="Times New Roman" w:hAnsi="Times New Roman"/>
          <w:b w:val="0"/>
          <w:i w:val="0"/>
          <w:sz w:val="24"/>
        </w:rPr>
        <w:t xml:space="preserve"> from ready-to-eat food samples, confirming the food chain as a vehicle for integron-bearing </w:t>
      </w:r>
      <w:r>
        <w:rPr>
          <w:rFonts w:ascii="Times New Roman" w:hAnsi="Times New Roman"/>
          <w:b w:val="0"/>
          <w:i/>
          <w:sz w:val="24"/>
        </w:rPr>
        <w:t>E. coli</w:t>
      </w:r>
      <w:r>
        <w:rPr>
          <w:rFonts w:ascii="Times New Roman" w:hAnsi="Times New Roman"/>
          <w:b w:val="0"/>
          <w:i w:val="0"/>
          <w:sz w:val="24"/>
        </w:rPr>
        <w:t xml:space="preserve"> dissemination to human consumers.</w:t>
      </w:r>
    </w:p>
    <w:p>
      <w:pPr>
        <w:pStyle w:val="Heading3"/>
        <w:spacing w:before="120" w:after="60" w:line="480" w:lineRule="auto"/>
        <w:jc w:val="left"/>
      </w:pPr>
      <w:r>
        <w:rPr>
          <w:rFonts w:ascii="Times New Roman" w:hAnsi="Times New Roman"/>
          <w:b/>
          <w:i w:val="0"/>
          <w:color w:val="000000"/>
          <w:sz w:val="24"/>
        </w:rPr>
        <w:t>2.8 Class 2 Integrons in Poultry Environments</w:t>
      </w:r>
    </w:p>
    <w:p>
      <w:pPr>
        <w:spacing w:before="0" w:after="120" w:line="480" w:lineRule="auto"/>
        <w:jc w:val="both"/>
      </w:pPr>
      <w:r>
        <w:rPr>
          <w:rFonts w:ascii="Times New Roman" w:hAnsi="Times New Roman"/>
          <w:b w:val="0"/>
          <w:i w:val="0"/>
          <w:sz w:val="24"/>
        </w:rPr>
        <w:t xml:space="preserve">Class 2 integrons represent a structurally and functionally distinct lineage from Class 1, though they share the core integron architecture of an integrase gene, an </w:t>
      </w:r>
      <w:r>
        <w:rPr>
          <w:rFonts w:ascii="Times New Roman" w:hAnsi="Times New Roman"/>
          <w:b w:val="0"/>
          <w:i/>
          <w:sz w:val="24"/>
        </w:rPr>
        <w:t>attI</w:t>
      </w:r>
      <w:r>
        <w:rPr>
          <w:rFonts w:ascii="Times New Roman" w:hAnsi="Times New Roman"/>
          <w:b w:val="0"/>
          <w:i w:val="0"/>
          <w:sz w:val="24"/>
        </w:rPr>
        <w:t xml:space="preserve"> recombination site, and an associated gene cassette array. The IntI2 integrase encoded by Class 2 integrons is related to the transposon Tn7-encoded TnsB recombinase and exhibits more restricted site-specificity compared to IntI1, a feature that limits the diversity of gene cassettes it can integrate but does not preclude the accumulation of clinically significant resistance determinants (Goldstein et al., 2001). Class 2 integrons are typically found as part of, or closely associated with, the Tn7 transposon, and their chromosomal location in many isolates makes them less readily transferable via plasmid conjugation than Class 1 integrons, though chromosomal resistance is nonetheless heritable and contributes to the persistence of MDR in bacterial lineages exposed to antibiotic selection (Lévesque et al., 1995; Goldstein et al., 2001).</w:t>
      </w:r>
    </w:p>
    <w:p>
      <w:pPr>
        <w:spacing w:before="0" w:after="120" w:line="480" w:lineRule="auto"/>
        <w:jc w:val="both"/>
      </w:pPr>
      <w:r>
        <w:rPr>
          <w:rFonts w:ascii="Times New Roman" w:hAnsi="Times New Roman"/>
          <w:b w:val="0"/>
          <w:i w:val="0"/>
          <w:sz w:val="24"/>
        </w:rPr>
        <w:t xml:space="preserve">The resistance gene cassette array of Class 2 integrons is more conserved and less diverse than that of Class 1, with the most commonly reported cassettes including </w:t>
      </w:r>
      <w:r>
        <w:rPr>
          <w:rFonts w:ascii="Times New Roman" w:hAnsi="Times New Roman"/>
          <w:b w:val="0"/>
          <w:i/>
          <w:sz w:val="24"/>
        </w:rPr>
        <w:t>dfrA1</w:t>
      </w:r>
      <w:r>
        <w:rPr>
          <w:rFonts w:ascii="Times New Roman" w:hAnsi="Times New Roman"/>
          <w:b w:val="0"/>
          <w:i w:val="0"/>
          <w:sz w:val="24"/>
        </w:rPr>
        <w:t xml:space="preserve"> (trimethoprim resistance), </w:t>
      </w:r>
      <w:r>
        <w:rPr>
          <w:rFonts w:ascii="Times New Roman" w:hAnsi="Times New Roman"/>
          <w:b w:val="0"/>
          <w:i/>
          <w:sz w:val="24"/>
        </w:rPr>
        <w:t>sat1</w:t>
      </w:r>
      <w:r>
        <w:rPr>
          <w:rFonts w:ascii="Times New Roman" w:hAnsi="Times New Roman"/>
          <w:b w:val="0"/>
          <w:i w:val="0"/>
          <w:sz w:val="24"/>
        </w:rPr>
        <w:t xml:space="preserve"> (streptothricin acetyltransferase), and </w:t>
      </w:r>
      <w:r>
        <w:rPr>
          <w:rFonts w:ascii="Times New Roman" w:hAnsi="Times New Roman"/>
          <w:b w:val="0"/>
          <w:i/>
          <w:sz w:val="24"/>
        </w:rPr>
        <w:t>aadA1</w:t>
      </w:r>
      <w:r>
        <w:rPr>
          <w:rFonts w:ascii="Times New Roman" w:hAnsi="Times New Roman"/>
          <w:b w:val="0"/>
          <w:i w:val="0"/>
          <w:sz w:val="24"/>
        </w:rPr>
        <w:t xml:space="preserve"> (aminoglycoside resistance) (Goldstein et al., 2001). Despite the more limited cassette diversity, the combination of trimethoprim and aminoglycoside resistance genes within Class 2 integrons is clinically significant, as aminoglycosides, particularly gentamicin, remain important therapeutic agents for the treatment of severe Gram-negative infections in both veterinary and human medicine. The presence of Class 2 integron-borne </w:t>
      </w:r>
      <w:r>
        <w:rPr>
          <w:rFonts w:ascii="Times New Roman" w:hAnsi="Times New Roman"/>
          <w:b w:val="0"/>
          <w:i/>
          <w:sz w:val="24"/>
        </w:rPr>
        <w:t>aadA1</w:t>
      </w:r>
      <w:r>
        <w:rPr>
          <w:rFonts w:ascii="Times New Roman" w:hAnsi="Times New Roman"/>
          <w:b w:val="0"/>
          <w:i w:val="0"/>
          <w:sz w:val="24"/>
        </w:rPr>
        <w:t xml:space="preserve"> in </w:t>
      </w:r>
      <w:r>
        <w:rPr>
          <w:rFonts w:ascii="Times New Roman" w:hAnsi="Times New Roman"/>
          <w:b w:val="0"/>
          <w:i/>
          <w:sz w:val="24"/>
        </w:rPr>
        <w:t>E. coli</w:t>
      </w:r>
      <w:r>
        <w:rPr>
          <w:rFonts w:ascii="Times New Roman" w:hAnsi="Times New Roman"/>
          <w:b w:val="0"/>
          <w:i w:val="0"/>
          <w:sz w:val="24"/>
        </w:rPr>
        <w:t xml:space="preserve"> from poultry litter would therefore indicate a reservoir of aminoglycoside resistance with transferable potential.</w:t>
      </w:r>
    </w:p>
    <w:p>
      <w:pPr>
        <w:spacing w:before="0" w:after="120" w:line="480" w:lineRule="auto"/>
        <w:jc w:val="both"/>
      </w:pPr>
      <w:r>
        <w:rPr>
          <w:rFonts w:ascii="Times New Roman" w:hAnsi="Times New Roman"/>
          <w:b w:val="0"/>
          <w:i w:val="0"/>
          <w:sz w:val="24"/>
        </w:rPr>
        <w:t xml:space="preserve">While less extensively studied than Class 1, Class 2 integrons have been detected in </w:t>
      </w:r>
      <w:r>
        <w:rPr>
          <w:rFonts w:ascii="Times New Roman" w:hAnsi="Times New Roman"/>
          <w:b w:val="0"/>
          <w:i/>
          <w:sz w:val="24"/>
        </w:rPr>
        <w:t>E. coli</w:t>
      </w:r>
      <w:r>
        <w:rPr>
          <w:rFonts w:ascii="Times New Roman" w:hAnsi="Times New Roman"/>
          <w:b w:val="0"/>
          <w:i w:val="0"/>
          <w:sz w:val="24"/>
        </w:rPr>
        <w:t xml:space="preserve"> from poultry and food-animal environments in multiple geographic settings. The foundational characterization of In53 by Goldstein et al. (2001) documented co-occurrence of Class 1 and Class 2 integron-associated resistance determinants within food-animal </w:t>
      </w:r>
      <w:r>
        <w:rPr>
          <w:rFonts w:ascii="Times New Roman" w:hAnsi="Times New Roman"/>
          <w:b w:val="0"/>
          <w:i/>
          <w:sz w:val="24"/>
        </w:rPr>
        <w:t>E. coli</w:t>
      </w:r>
      <w:r>
        <w:rPr>
          <w:rFonts w:ascii="Times New Roman" w:hAnsi="Times New Roman"/>
          <w:b w:val="0"/>
          <w:i w:val="0"/>
          <w:sz w:val="24"/>
        </w:rPr>
        <w:t xml:space="preserve"> populations, establishing the precedent for dual integron carriage that has since been documented across multiple studies. Cavicchio et al. (2015) confirmed Class 2 integron carriage alongside Class 1 in avian pathogenic </w:t>
      </w:r>
      <w:r>
        <w:rPr>
          <w:rFonts w:ascii="Times New Roman" w:hAnsi="Times New Roman"/>
          <w:b w:val="0"/>
          <w:i/>
          <w:sz w:val="24"/>
        </w:rPr>
        <w:t>E. coli</w:t>
      </w:r>
      <w:r>
        <w:rPr>
          <w:rFonts w:ascii="Times New Roman" w:hAnsi="Times New Roman"/>
          <w:b w:val="0"/>
          <w:i w:val="0"/>
          <w:sz w:val="24"/>
        </w:rPr>
        <w:t xml:space="preserve"> from Italian poultry, identifying four distinct Class 2 gene cassette arrays including </w:t>
      </w:r>
      <w:r>
        <w:rPr>
          <w:rFonts w:ascii="Times New Roman" w:hAnsi="Times New Roman"/>
          <w:b w:val="0"/>
          <w:i/>
          <w:sz w:val="24"/>
        </w:rPr>
        <w:t>dfrA1</w:t>
      </w:r>
      <w:r>
        <w:rPr>
          <w:rFonts w:ascii="Times New Roman" w:hAnsi="Times New Roman"/>
          <w:b w:val="0"/>
          <w:i w:val="0"/>
          <w:sz w:val="24"/>
        </w:rPr>
        <w:t xml:space="preserve">, </w:t>
      </w:r>
      <w:r>
        <w:rPr>
          <w:rFonts w:ascii="Times New Roman" w:hAnsi="Times New Roman"/>
          <w:b w:val="0"/>
          <w:i/>
          <w:sz w:val="24"/>
        </w:rPr>
        <w:t>sat1</w:t>
      </w:r>
      <w:r>
        <w:rPr>
          <w:rFonts w:ascii="Times New Roman" w:hAnsi="Times New Roman"/>
          <w:b w:val="0"/>
          <w:i w:val="0"/>
          <w:sz w:val="24"/>
        </w:rPr>
        <w:t xml:space="preserve">, and </w:t>
      </w:r>
      <w:r>
        <w:rPr>
          <w:rFonts w:ascii="Times New Roman" w:hAnsi="Times New Roman"/>
          <w:b w:val="0"/>
          <w:i/>
          <w:sz w:val="24"/>
        </w:rPr>
        <w:t>aadA1</w:t>
      </w:r>
      <w:r>
        <w:rPr>
          <w:rFonts w:ascii="Times New Roman" w:hAnsi="Times New Roman"/>
          <w:b w:val="0"/>
          <w:i w:val="0"/>
          <w:sz w:val="24"/>
        </w:rPr>
        <w:t xml:space="preserve">, the same resistance cassettes that contribute to trimethoprim and aminoglycoside resistance in food-animal </w:t>
      </w:r>
      <w:r>
        <w:rPr>
          <w:rFonts w:ascii="Times New Roman" w:hAnsi="Times New Roman"/>
          <w:b w:val="0"/>
          <w:i/>
          <w:sz w:val="24"/>
        </w:rPr>
        <w:t>E. coli</w:t>
      </w:r>
      <w:r>
        <w:rPr>
          <w:rFonts w:ascii="Times New Roman" w:hAnsi="Times New Roman"/>
          <w:b w:val="0"/>
          <w:i w:val="0"/>
          <w:sz w:val="24"/>
        </w:rPr>
        <w:t xml:space="preserve"> globally. When Class 1 and Class 2 integrons co-occur within the same isolate or within the same bacterial community, the collective resistance gene repertoire is expanded, and the risk of simultaneous horizontal transfer of multiple resistance gene cassette arrays is amplified (Wang et al., 2023). Wang et al. (2023) demonstrated that sub-lethal concentrations of antibiotics, such as those present in untreated poultry manure, actively promote horizontal gene transfer of integron-borne resistance determinants, providing a mechanistic basis for the importance of the poultry manure vendor environment as a gene transfer hotspot. The relatively sparse literature on Class 2 integrons specifically from poultry litter in Nigerian settings underscores the novelty and necessity of investigating both integron classes in vendor-sourced manure from Zaria Metropolis.</w:t>
      </w:r>
    </w:p>
    <w:p>
      <w:pPr>
        <w:pStyle w:val="Heading3"/>
        <w:spacing w:before="120" w:after="60" w:line="480" w:lineRule="auto"/>
        <w:jc w:val="left"/>
      </w:pPr>
      <w:r>
        <w:rPr>
          <w:rFonts w:ascii="Times New Roman" w:hAnsi="Times New Roman"/>
          <w:b/>
          <w:i w:val="0"/>
          <w:color w:val="000000"/>
          <w:sz w:val="24"/>
        </w:rPr>
        <w:t>2.9 Mobile Genetic Elements and Horizontal Gene Transfer</w:t>
      </w:r>
    </w:p>
    <w:p>
      <w:pPr>
        <w:spacing w:before="0" w:after="120" w:line="480" w:lineRule="auto"/>
        <w:jc w:val="both"/>
      </w:pPr>
      <w:r>
        <w:rPr>
          <w:rFonts w:ascii="Times New Roman" w:hAnsi="Times New Roman"/>
          <w:b w:val="0"/>
          <w:i w:val="0"/>
          <w:sz w:val="24"/>
        </w:rPr>
        <w:t>Horizontal gene transfer (HGT), the non-reproductive transmission of genetic material between cells, is the primary mechanism by which AMR spreads across bacterial species, genera, and ecological niches (Heuer et al., 2011). In contrast to vertical transmission, in which resistance genes are inherited by daughter cells during bacterial replication, HGT enables rapid dissemination of resistance determinants within a microbial community independent of phylogenetic relationships. The principal vehicles of HGT in Gram-negative bacteria include: (i) conjugative plasmids, self-transmissible circular DNA elements that encode all the molecular machinery required for their own transfer between donor and recipient cells via a sex pilus; (ii) transposons, autonomous DNA segments capable of moving within and between genomes, frequently carrying resistance genes (e.g., Tn10 encoding tetracycline resistance, Tn21 carrying Class 1 integrons); and (iii) integrons, which as described in Sections 2.6–2.8, capture and express gene cassettes through a distinct site-specific recombination mechanism (Lévesque et al., 1995; Fonseca et al., 2005). These elements frequently act in concert: integrons are commonly embedded within transposons, which are in turn located on conjugative plasmids, creating a hierarchical architecture in which resistance gene cassettes on integrons can be transferred across species in a single conjugation event (Heuer et al., 2011).</w:t>
      </w:r>
    </w:p>
    <w:p>
      <w:pPr>
        <w:spacing w:before="0" w:after="120" w:line="480" w:lineRule="auto"/>
        <w:jc w:val="both"/>
      </w:pPr>
      <w:r>
        <w:rPr>
          <w:rFonts w:ascii="Times New Roman" w:hAnsi="Times New Roman"/>
          <w:b w:val="0"/>
          <w:i w:val="0"/>
          <w:sz w:val="24"/>
        </w:rPr>
        <w:t xml:space="preserve">The agricultural environment, particularly manure-amended soil, has been identified as a particularly active site of HGT between bacteria (Heuer et al., 2011; Jechalke et al., 2013). The high densities of diverse bacteria, the presence of antibiotic residues that maintain low-level selection for resistance, and the availability of nutrients that support bacterial growth and membrane contact all contribute to elevated conjugation rates in manure-amended agricultural soils relative to non-amended controls (Jechalke et al., 2013). Heuer et al. (2011) demonstrated that the application of manure to agricultural fields increased the abundance of integron-associated ARGs, including </w:t>
      </w:r>
      <w:r>
        <w:rPr>
          <w:rFonts w:ascii="Times New Roman" w:hAnsi="Times New Roman"/>
          <w:b w:val="0"/>
          <w:i/>
          <w:sz w:val="24"/>
        </w:rPr>
        <w:t>intI1</w:t>
      </w:r>
      <w:r>
        <w:rPr>
          <w:rFonts w:ascii="Times New Roman" w:hAnsi="Times New Roman"/>
          <w:b w:val="0"/>
          <w:i w:val="0"/>
          <w:sz w:val="24"/>
        </w:rPr>
        <w:t xml:space="preserve"> and associated cassettes, in soil microbial communities, and that this increase was sustained for months after manure application, indicating persistent reservoir establishment rather than transient contamination. Marti et al. (2013) extended this finding to show that ARGs transferred from manure to agricultural soil could be detected on vegetables at harvest, providing a direct empirical link between manure application and the entry of resistance genes into the human food chain.</w:t>
      </w:r>
    </w:p>
    <w:p>
      <w:pPr>
        <w:spacing w:before="0" w:after="120" w:line="480" w:lineRule="auto"/>
        <w:jc w:val="both"/>
      </w:pPr>
      <w:r>
        <w:rPr>
          <w:rFonts w:ascii="Times New Roman" w:hAnsi="Times New Roman"/>
          <w:b w:val="0"/>
          <w:i w:val="0"/>
          <w:sz w:val="24"/>
        </w:rPr>
        <w:t>The importance of sub-lethal antibiotic concentrations as drivers of HGT in natural environments has been increasingly recognized. Wang et al. (2023) demonstrated through experimental systems that cooperative antibiotic resistance, where bacteria sharing resistance genes provide mutual protection against antibiotic stress, actively facilitates HGT of integron-borne resistance determinants at concentrations of antibiotics well below the minimum inhibitory concentration. This finding is directly applicable to the vendor market environment, where antibiotic residues in poultry manure likely persist at sub-lethal concentrations that simultaneously select for resistance and promote its horizontal dissemination.</w:t>
      </w:r>
    </w:p>
    <w:p>
      <w:pPr>
        <w:spacing w:before="0" w:after="120" w:line="480" w:lineRule="auto"/>
        <w:jc w:val="both"/>
      </w:pPr>
      <w:r>
        <w:rPr>
          <w:rFonts w:ascii="Times New Roman" w:hAnsi="Times New Roman"/>
          <w:b w:val="0"/>
          <w:i w:val="0"/>
          <w:sz w:val="24"/>
        </w:rPr>
        <w:t xml:space="preserve">At the global scale, the flow of ARGs across the human, animal, and environmental domains of the One Health triangle has been empirically documented. Feng et al. (2025) used regional metagenomic analysis to demonstrate bidirectional ARG flow between human clinical, animal, and environmental reservoirs, with integron-associated genes among the most mobile elements across sectors. Napit et al. (2025) similarly used metagenomic approaches on human, animal, and environmental samples to identify shared AMR gene pools that were exchanged across niches, confirming that resistance genes do not respect ecological boundaries and that surveillance must span all three One Health domains to be comprehensive. These findings provide the mechanistic and epidemiological rationale for characterizing integron-bearing MDR </w:t>
      </w:r>
      <w:r>
        <w:rPr>
          <w:rFonts w:ascii="Times New Roman" w:hAnsi="Times New Roman"/>
          <w:b w:val="0"/>
          <w:i/>
          <w:sz w:val="24"/>
        </w:rPr>
        <w:t>E. coli</w:t>
      </w:r>
      <w:r>
        <w:rPr>
          <w:rFonts w:ascii="Times New Roman" w:hAnsi="Times New Roman"/>
          <w:b w:val="0"/>
          <w:i w:val="0"/>
          <w:sz w:val="24"/>
        </w:rPr>
        <w:t xml:space="preserve"> in poultry manure from vendor markets as a critical environmental node in the One Health AMR gene flow network.</w:t>
      </w:r>
    </w:p>
    <w:p>
      <w:pPr>
        <w:pStyle w:val="Heading3"/>
        <w:spacing w:before="120" w:after="60" w:line="480" w:lineRule="auto"/>
        <w:jc w:val="left"/>
      </w:pPr>
      <w:r>
        <w:rPr>
          <w:rFonts w:ascii="Times New Roman" w:hAnsi="Times New Roman"/>
          <w:b/>
          <w:i w:val="0"/>
          <w:color w:val="000000"/>
          <w:sz w:val="24"/>
        </w:rPr>
        <w:t>2.10 Poultry Manure as a Reservoir for ARB and ARGs</w:t>
      </w:r>
    </w:p>
    <w:p>
      <w:pPr>
        <w:spacing w:before="0" w:after="120" w:line="480" w:lineRule="auto"/>
        <w:jc w:val="both"/>
      </w:pPr>
      <w:r>
        <w:rPr>
          <w:rFonts w:ascii="Times New Roman" w:hAnsi="Times New Roman"/>
          <w:b w:val="0"/>
          <w:i w:val="0"/>
          <w:sz w:val="24"/>
        </w:rPr>
        <w:t>Poultry manure is one of the most volumetrically significant agricultural by-products globally, generated in enormous quantities by commercial broiler, layer, and breeder operations. Its composition as a biological matrix is complex: in addition to fecal material, it contains bedding materials (sawdust, rice hulls, wood shavings), feed residues, antibiotic residues and their metabolites, heavy metals from feed additives, and diverse microbial populations, including ARB, representing the intestinal flora of the producing flock (Kyakuwaire et al., 2019). The co-presence of antibiotic residues and resistant bacteria within the manure matrix creates an internal selective environment that may sustain or amplify resistance gene carriage during storage, transport, and field application. Van Epps and Blaney (2016) reviewed the occurrence and degradation of antibiotic residues in conventional agricultural waste management, demonstrating that antibiotics were widely detectable in poultry litter, swine manure, and cattle manure, and that conventional waste treatment practices, including lagoon storage, do not achieve complete degradation of antibiotic residues, meaning that fresh and inadequately treated manure retains biologically active concentrations that drive resistance selection in associated bacterial communities.</w:t>
      </w:r>
    </w:p>
    <w:p>
      <w:pPr>
        <w:spacing w:before="0" w:after="120" w:line="480" w:lineRule="auto"/>
        <w:jc w:val="both"/>
      </w:pPr>
      <w:r>
        <w:rPr>
          <w:rFonts w:ascii="Times New Roman" w:hAnsi="Times New Roman"/>
          <w:b w:val="0"/>
          <w:i w:val="0"/>
          <w:sz w:val="24"/>
        </w:rPr>
        <w:t>Kyakuwaire et al. (2019) conducted a comprehensive review of the safety of chicken litter for land application as an organic fertilizer, documenting a broad array of chemical and biological hazards including pathogens, ARB, and ARGs. Their analysis concluded that the safety of litter application is highly dependent on the antibiotic use history of the producing flock, the duration and conditions of manure storage, and the method of application, with fresh or inadequately treated manure representing the greatest AMR risk. In vendor markets such as those operating in Zaria Metropolis, where litter is commonly sold directly from producers without intermediate composting or treatment, the ARB and ARG burden of fresh poultry manure is likely to be substantially higher than in treated litter (Kyakuwaire et al., 2019; Ngogang et al., 2021).</w:t>
      </w:r>
    </w:p>
    <w:p>
      <w:pPr>
        <w:spacing w:before="0" w:after="120" w:line="480" w:lineRule="auto"/>
        <w:jc w:val="both"/>
      </w:pPr>
      <w:r>
        <w:rPr>
          <w:rFonts w:ascii="Times New Roman" w:hAnsi="Times New Roman"/>
          <w:b w:val="0"/>
          <w:i w:val="0"/>
          <w:sz w:val="24"/>
        </w:rPr>
        <w:t xml:space="preserve">The persistence of ARGs in manure-amended soils and their capacity to transfer to indigenous soil bacteria via HGT have been documented by Heuer et al. (2011) and Jechalke et al. (2013). In a landmark study, Jechalke et al. (2013) demonstrated that a single application of manure from sulfadiazine-treated pigs to experimental field plots resulted in a significant and statistically robust increase in the absolute abundance of integron-associated ARGs, including </w:t>
      </w:r>
      <w:r>
        <w:rPr>
          <w:rFonts w:ascii="Times New Roman" w:hAnsi="Times New Roman"/>
          <w:b w:val="0"/>
          <w:i/>
          <w:sz w:val="24"/>
        </w:rPr>
        <w:t>intI1</w:t>
      </w:r>
      <w:r>
        <w:rPr>
          <w:rFonts w:ascii="Times New Roman" w:hAnsi="Times New Roman"/>
          <w:b w:val="0"/>
          <w:i w:val="0"/>
          <w:sz w:val="24"/>
        </w:rPr>
        <w:t xml:space="preserve">, </w:t>
      </w:r>
      <w:r>
        <w:rPr>
          <w:rFonts w:ascii="Times New Roman" w:hAnsi="Times New Roman"/>
          <w:b w:val="0"/>
          <w:i/>
          <w:sz w:val="24"/>
        </w:rPr>
        <w:t>sul1</w:t>
      </w:r>
      <w:r>
        <w:rPr>
          <w:rFonts w:ascii="Times New Roman" w:hAnsi="Times New Roman"/>
          <w:b w:val="0"/>
          <w:i w:val="0"/>
          <w:sz w:val="24"/>
        </w:rPr>
        <w:t xml:space="preserve">, </w:t>
      </w:r>
      <w:r>
        <w:rPr>
          <w:rFonts w:ascii="Times New Roman" w:hAnsi="Times New Roman"/>
          <w:b w:val="0"/>
          <w:i/>
          <w:sz w:val="24"/>
        </w:rPr>
        <w:t>aadA</w:t>
      </w:r>
      <w:r>
        <w:rPr>
          <w:rFonts w:ascii="Times New Roman" w:hAnsi="Times New Roman"/>
          <w:b w:val="0"/>
          <w:i w:val="0"/>
          <w:sz w:val="24"/>
        </w:rPr>
        <w:t xml:space="preserve">, and </w:t>
      </w:r>
      <w:r>
        <w:rPr>
          <w:rFonts w:ascii="Times New Roman" w:hAnsi="Times New Roman"/>
          <w:b w:val="0"/>
          <w:i/>
          <w:sz w:val="24"/>
        </w:rPr>
        <w:t>dfrA</w:t>
      </w:r>
      <w:r>
        <w:rPr>
          <w:rFonts w:ascii="Times New Roman" w:hAnsi="Times New Roman"/>
          <w:b w:val="0"/>
          <w:i w:val="0"/>
          <w:sz w:val="24"/>
        </w:rPr>
        <w:t xml:space="preserve">, in soil microbial DNA, and that the transferability of these resistance genes, as measured by transconjugant frequency, was also significantly increased relative to unamended control plots. This finding establishes that integron-bearing bacteria in animal manure can actively disseminate their resistance gene arrays into soil microbial communities through HGT following land application. Marti et al. (2013) demonstrated that this dissemination extends to crops growing in manure-amended soil, with ARGs detectable on the surfaces of harvested vegetables, a finding with immediate implications for food safety in settings where poultry manure is applied to kitchen gardens and smallholder vegetable plots. He et al. (2020), in a comprehensive review of ARGs from livestock waste, confirmed that ARGs are frequently detected in livestock waste globally and that conventional waste treatment processes do not completely remove them, resulting in their release to soil and water environments from which multiple exposure routes to humans, including inhalation and ingestion of ARB, may contribute to the rise in resistant clinical infections. Yin et al. (2017) demonstrated that even during aerobic composting of swine manure, </w:t>
      </w:r>
      <w:r>
        <w:rPr>
          <w:rFonts w:ascii="Times New Roman" w:hAnsi="Times New Roman"/>
          <w:b w:val="0"/>
          <w:i/>
          <w:sz w:val="24"/>
        </w:rPr>
        <w:t>intI1</w:t>
      </w:r>
      <w:r>
        <w:rPr>
          <w:rFonts w:ascii="Times New Roman" w:hAnsi="Times New Roman"/>
          <w:b w:val="0"/>
          <w:i w:val="0"/>
          <w:sz w:val="24"/>
        </w:rPr>
        <w:t xml:space="preserve"> abundance was reduced but ARGs persisted, indicating that composting alone may be insufficient to eliminate integron-associated resistance genes, with direct relevance to the risk management of vendor-traded poultry litter in Zaria Metropolis.</w:t>
      </w:r>
    </w:p>
    <w:p>
      <w:pPr>
        <w:spacing w:before="0" w:after="120" w:line="480" w:lineRule="auto"/>
        <w:jc w:val="both"/>
      </w:pPr>
      <w:r>
        <w:rPr>
          <w:rFonts w:ascii="Times New Roman" w:hAnsi="Times New Roman"/>
          <w:b w:val="0"/>
          <w:i w:val="0"/>
          <w:sz w:val="24"/>
        </w:rPr>
        <w:t xml:space="preserve">Studies from West and Central Africa most directly analogous to the present investigation have documented high ARB burdens in vendor-traded poultry litter. Moffo et al. (2021) demonstrated that poultry litter from Cameroon was contaminated with </w:t>
      </w:r>
      <w:r>
        <w:rPr>
          <w:rFonts w:ascii="Times New Roman" w:hAnsi="Times New Roman"/>
          <w:b w:val="0"/>
          <w:i/>
          <w:sz w:val="24"/>
        </w:rPr>
        <w:t>E. coli</w:t>
      </w:r>
      <w:r>
        <w:rPr>
          <w:rFonts w:ascii="Times New Roman" w:hAnsi="Times New Roman"/>
          <w:b w:val="0"/>
          <w:i w:val="0"/>
          <w:sz w:val="24"/>
        </w:rPr>
        <w:t xml:space="preserve"> resistant to critically important antimicrobials, and argued that the public health risk from handling and applying such litter was substantial and merited regulatory attention. Ngogang et al. (2021) investigated chicken litter manure sold by vendors in urban Cameroon and documented MDR </w:t>
      </w:r>
      <w:r>
        <w:rPr>
          <w:rFonts w:ascii="Times New Roman" w:hAnsi="Times New Roman"/>
          <w:b w:val="0"/>
          <w:i/>
          <w:sz w:val="24"/>
        </w:rPr>
        <w:t>E. coli</w:t>
      </w:r>
      <w:r>
        <w:rPr>
          <w:rFonts w:ascii="Times New Roman" w:hAnsi="Times New Roman"/>
          <w:b w:val="0"/>
          <w:i w:val="0"/>
          <w:sz w:val="24"/>
        </w:rPr>
        <w:t xml:space="preserve"> in samples from all vendor points surveyed, with resistance rates comparable to those documented in hospital environments, underscoring the AMR burden of commercially traded poultry litter in an urban African setting. Khan et al. (2014) isolated non-plasmid MDR </w:t>
      </w:r>
      <w:r>
        <w:rPr>
          <w:rFonts w:ascii="Times New Roman" w:hAnsi="Times New Roman"/>
          <w:b w:val="0"/>
          <w:i/>
          <w:sz w:val="24"/>
        </w:rPr>
        <w:t>E. coli</w:t>
      </w:r>
      <w:r>
        <w:rPr>
          <w:rFonts w:ascii="Times New Roman" w:hAnsi="Times New Roman"/>
          <w:b w:val="0"/>
          <w:i w:val="0"/>
          <w:sz w:val="24"/>
        </w:rPr>
        <w:t xml:space="preserve"> from poultry waste in Bangladesh, demonstrating that chromosomally encoded resistance, which is inheritable through vertical transmission, is also a feature of poultry waste bacteria, adding a dimension of persistence to the AMR burden that is independent of horizontal gene transfer.</w:t>
      </w:r>
    </w:p>
    <w:p>
      <w:pPr>
        <w:spacing w:before="0" w:after="120" w:line="480" w:lineRule="auto"/>
        <w:jc w:val="both"/>
      </w:pPr>
      <w:r>
        <w:rPr>
          <w:rFonts w:ascii="Times New Roman" w:hAnsi="Times New Roman"/>
          <w:b w:val="0"/>
          <w:i w:val="0"/>
          <w:sz w:val="24"/>
        </w:rPr>
        <w:t xml:space="preserve">In the Nigerian context, the vendor-traded poultry manure market represents a specific and largely uncharacterized node in the AMR dissemination network. Vendors who trade in poultry litter from commercial farms in Zaria collect, store, and distribute manure to urban households and smallholder farmers without any systematic AMR screening, biosafety protocols, or regulatory oversight. This creates a direct and uncontrolled pathway for the introduction of ARB and ARGs, including integron-bearing MDR </w:t>
      </w:r>
      <w:r>
        <w:rPr>
          <w:rFonts w:ascii="Times New Roman" w:hAnsi="Times New Roman"/>
          <w:b w:val="0"/>
          <w:i/>
          <w:sz w:val="24"/>
        </w:rPr>
        <w:t>E. coli</w:t>
      </w:r>
      <w:r>
        <w:rPr>
          <w:rFonts w:ascii="Times New Roman" w:hAnsi="Times New Roman"/>
          <w:b w:val="0"/>
          <w:i w:val="0"/>
          <w:sz w:val="24"/>
        </w:rPr>
        <w:t>, into the urban agricultural and domestic environment.</w:t>
      </w:r>
    </w:p>
    <w:p>
      <w:pPr>
        <w:pStyle w:val="Heading3"/>
        <w:spacing w:before="120" w:after="60" w:line="480" w:lineRule="auto"/>
        <w:jc w:val="left"/>
      </w:pPr>
      <w:r>
        <w:rPr>
          <w:rFonts w:ascii="Times New Roman" w:hAnsi="Times New Roman"/>
          <w:b/>
          <w:i w:val="0"/>
          <w:color w:val="000000"/>
          <w:sz w:val="24"/>
        </w:rPr>
        <w:t>2.11 AMR in the One Health Context</w:t>
      </w:r>
    </w:p>
    <w:p>
      <w:pPr>
        <w:spacing w:before="0" w:after="120" w:line="480" w:lineRule="auto"/>
        <w:jc w:val="both"/>
      </w:pPr>
      <w:r>
        <w:rPr>
          <w:rFonts w:ascii="Times New Roman" w:hAnsi="Times New Roman"/>
          <w:b w:val="0"/>
          <w:i w:val="0"/>
          <w:sz w:val="24"/>
        </w:rPr>
        <w:t>The One Health approach to AMR, formally endorsed by WHO, FAO, and WOAH through the tripartite joint plan of action, positions antimicrobial resistance not as a problem confined to any single sector (human medicine, veterinary practice, or environmental management) but as a shared challenge that is generated, amplified, and transmitted across all three. The core empirical basis for this framework is the demonstrated mobility of ARGs across ecological boundaries, mediated by bacteria, mobile genetic elements, animals, and humans moving across the human-animal-environment interface (Feng et al., 2025; Napit et al., 2025).</w:t>
      </w:r>
    </w:p>
    <w:p>
      <w:pPr>
        <w:spacing w:before="0" w:after="120" w:line="480" w:lineRule="auto"/>
        <w:jc w:val="both"/>
      </w:pPr>
      <w:r>
        <w:rPr>
          <w:rFonts w:ascii="Times New Roman" w:hAnsi="Times New Roman"/>
          <w:b w:val="0"/>
          <w:i w:val="0"/>
          <w:sz w:val="24"/>
        </w:rPr>
        <w:t>Feng et al. (2025) used regional metagenomic surveillance data to demonstrate that ARGs flow bidirectionally between human clinical, animal, and environmental niches, with integron-associated genes exhibiting among the highest cross-sector mobility. This finding has direct policy implications: it means that AMR interventions that focus exclusively on clinical or human medicine settings while ignoring agricultural and environmental reservoirs are structurally inadequate, as resistance genes will continue to flow from agricultural environments into clinical ones regardless of clinical stewardship measures. Napit et al. (2025) confirmed the existence of shared AMR gene pools across human, animal, and environmental samples in a metagenomic investigation, demonstrating that the resistance gene content of clinical isolates is not uniquely clinical in origin but reflects a broader environmental resistome. These findings are consistent with the mechanistic evidence provided by Heuer et al. (2011) and Jechalke et al. (2013) regarding HGT of integron-borne genes from manure to soil, and collectively support the conclusion that environmental AMR surveillance, including surveillance of poultry manure in vendor markets, is an integral and non-redundant component of a comprehensive One Health AMR response. Maciel-Guerra et al. (2022), using shotgun metagenome sequencing combined with machine learning in a poultry farm and connected slaughterhouse in China, demonstrated that similar clinically relevant ARGs and mobile genetic elements, including integron-associated genes, were present in both broiler chickens and farm workers' gut microbiomes, providing some of the clearest One Health evidence to date for livestock-to-human ARG flow at the farm-human interface. Wang et al. (2021) identified soil as a major ARG reservoir in the One Health context, demonstrating that the dynamics of ARG transfer among soil microorganisms associated with plants and fauna are driven by exogenous co-selective agents, including antibiotic residues from manure, and that integrated approaches reducing selection pressure and disrupting transmission routes are essential for AMR control in the agricultural environment.</w:t>
      </w:r>
    </w:p>
    <w:p>
      <w:pPr>
        <w:spacing w:before="0" w:after="120" w:line="480" w:lineRule="auto"/>
        <w:jc w:val="both"/>
      </w:pPr>
      <w:r>
        <w:rPr>
          <w:rFonts w:ascii="Times New Roman" w:hAnsi="Times New Roman"/>
          <w:b w:val="0"/>
          <w:i w:val="0"/>
          <w:sz w:val="24"/>
        </w:rPr>
        <w:t>In the West African and Nigerian context, AMR surveillance has historically been concentrated in human clinical settings, hospital wards, outpatient departments, and clinical diagnostic laboratories, with relatively little attention to veterinary, environmental, or food-chain matrices (Lambraki et al., 2017). The systematic review by Lambraki et al. (2017) confirmed that AMR data from West Africa are dominated by studies on human clinical isolates, with animal and environmental sources markedly underrepresented in the published literature. This surveillance gap means that the AMR burden in agricultural environments, including poultry manure vendor markets, is currently invisible in regional AMR reporting systems, despite the mechanistic evidence that these environments contribute substantially to the overall AMR gene pool. Murray et al. (2022) documented that Sub-Saharan Africa bears the highest per-capita AMR mortality burden globally, a statistic that is almost certainly an underestimate given the surveillance deficiencies in the region's animal and environmental sectors.</w:t>
      </w:r>
    </w:p>
    <w:p>
      <w:pPr>
        <w:spacing w:before="0" w:after="120" w:line="480" w:lineRule="auto"/>
        <w:jc w:val="both"/>
      </w:pPr>
      <w:r>
        <w:rPr>
          <w:rFonts w:ascii="Times New Roman" w:hAnsi="Times New Roman"/>
          <w:b w:val="0"/>
          <w:i w:val="0"/>
          <w:sz w:val="24"/>
        </w:rPr>
        <w:t xml:space="preserve">The present study, by characterizing MDR </w:t>
      </w:r>
      <w:r>
        <w:rPr>
          <w:rFonts w:ascii="Times New Roman" w:hAnsi="Times New Roman"/>
          <w:b w:val="0"/>
          <w:i/>
          <w:sz w:val="24"/>
        </w:rPr>
        <w:t>E. coli</w:t>
      </w:r>
      <w:r>
        <w:rPr>
          <w:rFonts w:ascii="Times New Roman" w:hAnsi="Times New Roman"/>
          <w:b w:val="0"/>
          <w:i w:val="0"/>
          <w:sz w:val="24"/>
        </w:rPr>
        <w:t xml:space="preserve"> and integron prevalence in poultry manure from vendor markets in Zaria, contributes environmental and agricultural AMR data to a region where such data are critically needed. It embodies the One Health principle by targeting an exposure pathway that sits at the intersection of the animal (poultry production), environmental (manure application), and human (market workers, farmers, consumers) domains, providing evidence that bridges these sectors in a manner consistent with the integrated surveillance architecture advocated by the WHO/FAO/WOAH tripartite framework.</w:t>
      </w:r>
    </w:p>
    <w:p>
      <w:pPr>
        <w:pStyle w:val="Heading3"/>
        <w:spacing w:before="120" w:after="60" w:line="480" w:lineRule="auto"/>
        <w:jc w:val="left"/>
      </w:pPr>
      <w:r>
        <w:rPr>
          <w:rFonts w:ascii="Times New Roman" w:hAnsi="Times New Roman"/>
          <w:b/>
          <w:i w:val="0"/>
          <w:color w:val="000000"/>
          <w:sz w:val="24"/>
        </w:rPr>
        <w:t>2.12 Summary of Literature and Identified Gaps</w:t>
      </w:r>
    </w:p>
    <w:p>
      <w:pPr>
        <w:spacing w:before="0" w:after="120" w:line="480" w:lineRule="auto"/>
        <w:jc w:val="both"/>
      </w:pPr>
      <w:r>
        <w:rPr>
          <w:rFonts w:ascii="Times New Roman" w:hAnsi="Times New Roman"/>
          <w:b w:val="0"/>
          <w:i w:val="0"/>
          <w:sz w:val="24"/>
        </w:rPr>
        <w:t>The body of literature reviewed in this chapter collectively establishes the following:</w:t>
      </w:r>
    </w:p>
    <w:p>
      <w:pPr>
        <w:spacing w:before="0" w:after="120" w:line="480" w:lineRule="auto"/>
        <w:jc w:val="both"/>
      </w:pPr>
      <w:r>
        <w:rPr>
          <w:rFonts w:ascii="Times New Roman" w:hAnsi="Times New Roman"/>
          <w:b w:val="0"/>
          <w:i w:val="0"/>
          <w:sz w:val="24"/>
        </w:rPr>
        <w:t xml:space="preserve">First, AMR is a global public health crisis of exceptional magnitude, with </w:t>
      </w:r>
      <w:r>
        <w:rPr>
          <w:rFonts w:ascii="Times New Roman" w:hAnsi="Times New Roman"/>
          <w:b w:val="0"/>
          <w:i/>
          <w:sz w:val="24"/>
        </w:rPr>
        <w:t>E. coli</w:t>
      </w:r>
      <w:r>
        <w:rPr>
          <w:rFonts w:ascii="Times New Roman" w:hAnsi="Times New Roman"/>
          <w:b w:val="0"/>
          <w:i w:val="0"/>
          <w:sz w:val="24"/>
        </w:rPr>
        <w:t xml:space="preserve">, as both a commensal and opportunistic pathogen, serving as one of the most important indicator organisms for resistance surveillance in food-animal production environments. The molecular basis of MDR in </w:t>
      </w:r>
      <w:r>
        <w:rPr>
          <w:rFonts w:ascii="Times New Roman" w:hAnsi="Times New Roman"/>
          <w:b w:val="0"/>
          <w:i/>
          <w:sz w:val="24"/>
        </w:rPr>
        <w:t>E. coli</w:t>
      </w:r>
      <w:r>
        <w:rPr>
          <w:rFonts w:ascii="Times New Roman" w:hAnsi="Times New Roman"/>
          <w:b w:val="0"/>
          <w:i w:val="0"/>
          <w:sz w:val="24"/>
        </w:rPr>
        <w:t xml:space="preserve"> from poultry is frequently attributable to integrons, particularly Class 1 and Class 2, which function as efficient platforms for the horizontal dissemination of multiple resistance gene cassettes simultaneously.</w:t>
      </w:r>
    </w:p>
    <w:p>
      <w:pPr>
        <w:spacing w:before="0" w:after="120" w:line="480" w:lineRule="auto"/>
        <w:jc w:val="both"/>
      </w:pPr>
      <w:r>
        <w:rPr>
          <w:rFonts w:ascii="Times New Roman" w:hAnsi="Times New Roman"/>
          <w:b w:val="0"/>
          <w:i w:val="0"/>
          <w:sz w:val="24"/>
        </w:rPr>
        <w:t xml:space="preserve">Second, MDR </w:t>
      </w:r>
      <w:r>
        <w:rPr>
          <w:rFonts w:ascii="Times New Roman" w:hAnsi="Times New Roman"/>
          <w:b w:val="0"/>
          <w:i/>
          <w:sz w:val="24"/>
        </w:rPr>
        <w:t>E. coli</w:t>
      </w:r>
      <w:r>
        <w:rPr>
          <w:rFonts w:ascii="Times New Roman" w:hAnsi="Times New Roman"/>
          <w:b w:val="0"/>
          <w:i w:val="0"/>
          <w:sz w:val="24"/>
        </w:rPr>
        <w:t xml:space="preserve"> in poultry environments is well documented globally and in Nigeria specifically, with high prevalence of resistance to fluoroquinolones, sulfonamides, aminoglycosides, tetracyclines, and cephalosporins reported across diverse geographic settings. In Zaria, prior work by Ejeh et al. (2017) established a baseline for MDR in </w:t>
      </w:r>
      <w:r>
        <w:rPr>
          <w:rFonts w:ascii="Times New Roman" w:hAnsi="Times New Roman"/>
          <w:b w:val="0"/>
          <w:i/>
          <w:sz w:val="24"/>
        </w:rPr>
        <w:t>E. coli</w:t>
      </w:r>
      <w:r>
        <w:rPr>
          <w:rFonts w:ascii="Times New Roman" w:hAnsi="Times New Roman"/>
          <w:b w:val="0"/>
          <w:i w:val="0"/>
          <w:sz w:val="24"/>
        </w:rPr>
        <w:t xml:space="preserve"> from roadside poultry retail, but this work did not characterize the molecular basis of resistance or focus on vendor-sourced manure as a distinct exposure pathway.</w:t>
      </w:r>
    </w:p>
    <w:p>
      <w:pPr>
        <w:spacing w:before="0" w:after="120" w:line="480" w:lineRule="auto"/>
        <w:jc w:val="both"/>
      </w:pPr>
      <w:r>
        <w:rPr>
          <w:rFonts w:ascii="Times New Roman" w:hAnsi="Times New Roman"/>
          <w:b w:val="0"/>
          <w:i w:val="0"/>
          <w:sz w:val="24"/>
        </w:rPr>
        <w:t xml:space="preserve">Third, while integron carriage, particularly Class 1 integron carriage, in </w:t>
      </w:r>
      <w:r>
        <w:rPr>
          <w:rFonts w:ascii="Times New Roman" w:hAnsi="Times New Roman"/>
          <w:b w:val="0"/>
          <w:i/>
          <w:sz w:val="24"/>
        </w:rPr>
        <w:t>E. coli</w:t>
      </w:r>
      <w:r>
        <w:rPr>
          <w:rFonts w:ascii="Times New Roman" w:hAnsi="Times New Roman"/>
          <w:b w:val="0"/>
          <w:i w:val="0"/>
          <w:sz w:val="24"/>
        </w:rPr>
        <w:t xml:space="preserve"> from poultry is extensively documented in global literature, Nigerian data on integron prevalence in poultry-associated </w:t>
      </w:r>
      <w:r>
        <w:rPr>
          <w:rFonts w:ascii="Times New Roman" w:hAnsi="Times New Roman"/>
          <w:b w:val="0"/>
          <w:i/>
          <w:sz w:val="24"/>
        </w:rPr>
        <w:t>E. coli</w:t>
      </w:r>
      <w:r>
        <w:rPr>
          <w:rFonts w:ascii="Times New Roman" w:hAnsi="Times New Roman"/>
          <w:b w:val="0"/>
          <w:i w:val="0"/>
          <w:sz w:val="24"/>
        </w:rPr>
        <w:t xml:space="preserve"> remain sparse, and data specifically from poultry manure vendor markets in North-West Nigeria are absent.</w:t>
      </w:r>
    </w:p>
    <w:p>
      <w:pPr>
        <w:spacing w:before="0" w:after="120" w:line="480" w:lineRule="auto"/>
        <w:jc w:val="both"/>
      </w:pPr>
      <w:r>
        <w:rPr>
          <w:rFonts w:ascii="Times New Roman" w:hAnsi="Times New Roman"/>
          <w:b w:val="0"/>
          <w:i w:val="0"/>
          <w:sz w:val="24"/>
        </w:rPr>
        <w:t xml:space="preserve">Fourth, the One Health framework identifies poultry manure vendor markets as a high-priority but underexplored node in the AMR transmission network, sitting at the intersection of agricultural production, urban food systems, and environmental ARG dissemination. Studies from analogous settings in Cameroon, Moffo et al. (2021) and Ngogang et al. (2021), confirm that vendor-traded poultry litter harbors MDR </w:t>
      </w:r>
      <w:r>
        <w:rPr>
          <w:rFonts w:ascii="Times New Roman" w:hAnsi="Times New Roman"/>
          <w:b w:val="0"/>
          <w:i/>
          <w:sz w:val="24"/>
        </w:rPr>
        <w:t>E. coli</w:t>
      </w:r>
      <w:r>
        <w:rPr>
          <w:rFonts w:ascii="Times New Roman" w:hAnsi="Times New Roman"/>
          <w:b w:val="0"/>
          <w:i w:val="0"/>
          <w:sz w:val="24"/>
        </w:rPr>
        <w:t xml:space="preserve"> at levels comparable to clinical environments, and that systematic surveillance of such markets is both scientifically justified and public-health urgent.</w:t>
      </w:r>
    </w:p>
    <w:p>
      <w:pPr>
        <w:spacing w:before="0" w:after="120" w:line="480" w:lineRule="auto"/>
        <w:jc w:val="both"/>
      </w:pPr>
      <w:r>
        <w:rPr>
          <w:rFonts w:ascii="Times New Roman" w:hAnsi="Times New Roman"/>
          <w:b w:val="0"/>
          <w:i w:val="0"/>
          <w:sz w:val="24"/>
        </w:rPr>
        <w:t xml:space="preserve">The present study addresses these identified gaps by providing the first systematic characterization of MDR </w:t>
      </w:r>
      <w:r>
        <w:rPr>
          <w:rFonts w:ascii="Times New Roman" w:hAnsi="Times New Roman"/>
          <w:b w:val="0"/>
          <w:i/>
          <w:sz w:val="24"/>
        </w:rPr>
        <w:t>E. coli</w:t>
      </w:r>
      <w:r>
        <w:rPr>
          <w:rFonts w:ascii="Times New Roman" w:hAnsi="Times New Roman"/>
          <w:b w:val="0"/>
          <w:i w:val="0"/>
          <w:sz w:val="24"/>
        </w:rPr>
        <w:t xml:space="preserve"> and Class 1 and Class 2 integron prevalence in commercial poultry manure from vendors in Zaria Metropolis, generating baseline AMR data for a previously unstudied but epidemiologically significant niche in North-West Nigeria's agricultural-urban interface.</w:t>
      </w:r>
    </w:p>
    <w:p>
      <w:pPr>
        <w:pStyle w:val="Heading3"/>
        <w:spacing w:before="120" w:after="60" w:line="480" w:lineRule="auto"/>
        <w:jc w:val="left"/>
      </w:pPr>
      <w:r>
        <w:rPr>
          <w:rFonts w:ascii="Times New Roman" w:hAnsi="Times New Roman"/>
          <w:b/>
          <w:i w:val="0"/>
          <w:color w:val="000000"/>
          <w:sz w:val="24"/>
        </w:rPr>
        <w:t>References for Chapter 2</w:t>
      </w:r>
    </w:p>
    <w:p>
      <w:pPr>
        <w:spacing w:before="0" w:after="120" w:line="480" w:lineRule="auto"/>
        <w:jc w:val="both"/>
      </w:pPr>
      <w:r>
        <w:rPr>
          <w:rFonts w:ascii="Times New Roman" w:hAnsi="Times New Roman"/>
          <w:b w:val="0"/>
          <w:i/>
          <w:sz w:val="24"/>
        </w:rPr>
        <w:t>(Full reference list in Chapter 8: References and Appendices)</w:t>
      </w:r>
    </w:p>
    <w:p>
      <w:pPr>
        <w:spacing w:before="0" w:after="120" w:line="480" w:lineRule="auto"/>
        <w:jc w:val="both"/>
      </w:pPr>
      <w:r>
        <w:rPr>
          <w:rFonts w:ascii="Times New Roman" w:hAnsi="Times New Roman"/>
          <w:b/>
          <w:i w:val="0"/>
          <w:sz w:val="24"/>
        </w:rPr>
        <w:t>In-text citations used in this chapter:</w:t>
      </w:r>
    </w:p>
    <w:p>
      <w:pPr>
        <w:pStyle w:val="ListBullet"/>
        <w:spacing w:before="40" w:after="40" w:line="240" w:lineRule="auto"/>
        <w:jc w:val="both"/>
      </w:pPr>
      <w:r>
        <w:rPr>
          <w:rFonts w:ascii="Times New Roman" w:hAnsi="Times New Roman"/>
          <w:b w:val="0"/>
          <w:i w:val="0"/>
          <w:sz w:val="24"/>
        </w:rPr>
        <w:t xml:space="preserve">Abdalla et al. (2021): </w:t>
      </w:r>
      <w:r>
        <w:rPr>
          <w:rFonts w:ascii="Times New Roman" w:hAnsi="Times New Roman"/>
          <w:b w:val="0"/>
          <w:i/>
          <w:sz w:val="24"/>
        </w:rPr>
        <w:t>Abdalla2021.pdf</w:t>
      </w:r>
    </w:p>
    <w:p>
      <w:pPr>
        <w:pStyle w:val="ListBullet"/>
        <w:spacing w:before="40" w:after="40" w:line="240" w:lineRule="auto"/>
        <w:jc w:val="both"/>
      </w:pPr>
      <w:r>
        <w:rPr>
          <w:rFonts w:ascii="Times New Roman" w:hAnsi="Times New Roman"/>
          <w:b w:val="0"/>
          <w:i w:val="0"/>
          <w:sz w:val="24"/>
        </w:rPr>
        <w:t xml:space="preserve">Abebe et al. (2023): </w:t>
      </w:r>
      <w:r>
        <w:rPr>
          <w:rFonts w:ascii="Times New Roman" w:hAnsi="Times New Roman"/>
          <w:b w:val="0"/>
          <w:i/>
          <w:sz w:val="24"/>
        </w:rPr>
        <w:t>Abebe2023_Occurrence and antimicrobial resistance pattern of E. c.pdf</w:t>
      </w:r>
    </w:p>
    <w:p>
      <w:pPr>
        <w:pStyle w:val="ListBullet"/>
        <w:spacing w:before="40" w:after="40" w:line="240" w:lineRule="auto"/>
        <w:jc w:val="both"/>
      </w:pPr>
      <w:r>
        <w:rPr>
          <w:rFonts w:ascii="Times New Roman" w:hAnsi="Times New Roman"/>
          <w:b w:val="0"/>
          <w:i w:val="0"/>
          <w:sz w:val="24"/>
        </w:rPr>
        <w:t xml:space="preserve">Adesokan et al. (2015): </w:t>
      </w:r>
      <w:r>
        <w:rPr>
          <w:rFonts w:ascii="Times New Roman" w:hAnsi="Times New Roman"/>
          <w:b w:val="0"/>
          <w:i/>
          <w:sz w:val="24"/>
        </w:rPr>
        <w:t>Adesokan2015_Pattern of antimicrobial usage in livestock animals in.pdf</w:t>
      </w:r>
    </w:p>
    <w:p>
      <w:pPr>
        <w:pStyle w:val="ListBullet"/>
        <w:spacing w:before="40" w:after="40" w:line="240" w:lineRule="auto"/>
        <w:jc w:val="both"/>
      </w:pPr>
      <w:r>
        <w:rPr>
          <w:rFonts w:ascii="Times New Roman" w:hAnsi="Times New Roman"/>
          <w:b w:val="0"/>
          <w:i w:val="0"/>
          <w:sz w:val="24"/>
        </w:rPr>
        <w:t xml:space="preserve">Afunwa et al. (2020): </w:t>
      </w:r>
      <w:r>
        <w:rPr>
          <w:rFonts w:ascii="Times New Roman" w:hAnsi="Times New Roman"/>
          <w:b w:val="0"/>
          <w:i/>
          <w:sz w:val="24"/>
        </w:rPr>
        <w:t>Afunwa2020_Multiple Antibiotic Resistant Index of Gram-Negative Ba.pdf</w:t>
      </w:r>
    </w:p>
    <w:p>
      <w:pPr>
        <w:pStyle w:val="ListBullet"/>
        <w:spacing w:before="40" w:after="40" w:line="240" w:lineRule="auto"/>
        <w:jc w:val="both"/>
      </w:pPr>
      <w:r>
        <w:rPr>
          <w:rFonts w:ascii="Times New Roman" w:hAnsi="Times New Roman"/>
          <w:b w:val="0"/>
          <w:i w:val="0"/>
          <w:sz w:val="24"/>
        </w:rPr>
        <w:t xml:space="preserve">Agusi et al. (2024): </w:t>
      </w:r>
      <w:r>
        <w:rPr>
          <w:rFonts w:ascii="Times New Roman" w:hAnsi="Times New Roman"/>
          <w:b w:val="0"/>
          <w:i/>
          <w:sz w:val="24"/>
        </w:rPr>
        <w:t>Agusi2024_Prevalence of multidrug-resistant Escherichia coli isolates.pdf</w:t>
      </w:r>
    </w:p>
    <w:p>
      <w:pPr>
        <w:pStyle w:val="ListBullet"/>
        <w:spacing w:before="40" w:after="40" w:line="240" w:lineRule="auto"/>
        <w:jc w:val="both"/>
      </w:pPr>
      <w:r>
        <w:rPr>
          <w:rFonts w:ascii="Times New Roman" w:hAnsi="Times New Roman"/>
          <w:b w:val="0"/>
          <w:i w:val="0"/>
          <w:sz w:val="24"/>
        </w:rPr>
        <w:t xml:space="preserve">Ajibola et al. (2025): </w:t>
      </w:r>
      <w:r>
        <w:rPr>
          <w:rFonts w:ascii="Times New Roman" w:hAnsi="Times New Roman"/>
          <w:b w:val="0"/>
          <w:i/>
          <w:sz w:val="24"/>
        </w:rPr>
        <w:t>Ajibola2025_Antimicrobial resistance and virulence gene profiles of Esch.pdf</w:t>
      </w:r>
    </w:p>
    <w:p>
      <w:pPr>
        <w:pStyle w:val="ListBullet"/>
        <w:spacing w:before="40" w:after="40" w:line="240" w:lineRule="auto"/>
        <w:jc w:val="both"/>
      </w:pPr>
      <w:r>
        <w:rPr>
          <w:rFonts w:ascii="Times New Roman" w:hAnsi="Times New Roman"/>
          <w:b w:val="0"/>
          <w:i w:val="0"/>
          <w:sz w:val="24"/>
        </w:rPr>
        <w:t xml:space="preserve">Antony (2025): </w:t>
      </w:r>
      <w:r>
        <w:rPr>
          <w:rFonts w:ascii="Times New Roman" w:hAnsi="Times New Roman"/>
          <w:b w:val="0"/>
          <w:i/>
          <w:sz w:val="24"/>
        </w:rPr>
        <w:t>Antony2025_IntegronClass1EcoliReadyToEatFoods.pdf</w:t>
      </w:r>
    </w:p>
    <w:p>
      <w:pPr>
        <w:pStyle w:val="ListBullet"/>
        <w:spacing w:before="40" w:after="40" w:line="240" w:lineRule="auto"/>
        <w:jc w:val="both"/>
      </w:pPr>
      <w:r>
        <w:rPr>
          <w:rFonts w:ascii="Times New Roman" w:hAnsi="Times New Roman"/>
          <w:b w:val="0"/>
          <w:i w:val="0"/>
          <w:sz w:val="24"/>
        </w:rPr>
        <w:t xml:space="preserve">Aworh et al. (2021): </w:t>
      </w:r>
      <w:r>
        <w:rPr>
          <w:rFonts w:ascii="Times New Roman" w:hAnsi="Times New Roman"/>
          <w:b w:val="0"/>
          <w:i/>
          <w:sz w:val="24"/>
        </w:rPr>
        <w:t>Aworh2021.pdf</w:t>
      </w:r>
    </w:p>
    <w:p>
      <w:pPr>
        <w:pStyle w:val="ListBullet"/>
        <w:spacing w:before="40" w:after="40" w:line="240" w:lineRule="auto"/>
        <w:jc w:val="both"/>
      </w:pPr>
      <w:r>
        <w:rPr>
          <w:rFonts w:ascii="Times New Roman" w:hAnsi="Times New Roman"/>
          <w:b w:val="0"/>
          <w:i w:val="0"/>
          <w:sz w:val="24"/>
        </w:rPr>
        <w:t xml:space="preserve">Cassini et al. (2019): </w:t>
      </w:r>
      <w:r>
        <w:rPr>
          <w:rFonts w:ascii="Times New Roman" w:hAnsi="Times New Roman"/>
          <w:b w:val="0"/>
          <w:i/>
          <w:sz w:val="24"/>
        </w:rPr>
        <w:t>Cassini2018_Attributable deaths and disability-adjusted life-years.pdf</w:t>
      </w:r>
    </w:p>
    <w:p>
      <w:pPr>
        <w:pStyle w:val="ListBullet"/>
        <w:spacing w:before="40" w:after="40" w:line="240" w:lineRule="auto"/>
        <w:jc w:val="both"/>
      </w:pPr>
      <w:r>
        <w:rPr>
          <w:rFonts w:ascii="Times New Roman" w:hAnsi="Times New Roman"/>
          <w:b w:val="0"/>
          <w:i w:val="0"/>
          <w:sz w:val="24"/>
        </w:rPr>
        <w:t xml:space="preserve">Caudell et al. (2020): </w:t>
      </w:r>
      <w:r>
        <w:rPr>
          <w:rFonts w:ascii="Times New Roman" w:hAnsi="Times New Roman"/>
          <w:b w:val="0"/>
          <w:i/>
          <w:sz w:val="24"/>
        </w:rPr>
        <w:t>Caudell2020_Towards a bottom-up understanding of antimicrobial use.pdf</w:t>
      </w:r>
    </w:p>
    <w:p>
      <w:pPr>
        <w:pStyle w:val="ListBullet"/>
        <w:spacing w:before="40" w:after="40" w:line="240" w:lineRule="auto"/>
        <w:jc w:val="both"/>
      </w:pPr>
      <w:r>
        <w:rPr>
          <w:rFonts w:ascii="Times New Roman" w:hAnsi="Times New Roman"/>
          <w:b w:val="0"/>
          <w:i w:val="0"/>
          <w:sz w:val="24"/>
        </w:rPr>
        <w:t xml:space="preserve">Cavicchio et al. (2015): </w:t>
      </w:r>
      <w:r>
        <w:rPr>
          <w:rFonts w:ascii="Times New Roman" w:hAnsi="Times New Roman"/>
          <w:b w:val="0"/>
          <w:i/>
          <w:sz w:val="24"/>
        </w:rPr>
        <w:t>Cavicchio2015_Class 1 and class 2 integrons in avian pathogenic Esche.pdf</w:t>
      </w:r>
    </w:p>
    <w:p>
      <w:pPr>
        <w:pStyle w:val="ListBullet"/>
        <w:spacing w:before="40" w:after="40" w:line="240" w:lineRule="auto"/>
        <w:jc w:val="both"/>
      </w:pPr>
      <w:r>
        <w:rPr>
          <w:rFonts w:ascii="Times New Roman" w:hAnsi="Times New Roman"/>
          <w:b w:val="0"/>
          <w:i w:val="0"/>
          <w:sz w:val="24"/>
        </w:rPr>
        <w:t xml:space="preserve">Cheng et al. (2019): </w:t>
      </w:r>
      <w:r>
        <w:rPr>
          <w:rFonts w:ascii="Times New Roman" w:hAnsi="Times New Roman"/>
          <w:b w:val="0"/>
          <w:i/>
          <w:sz w:val="24"/>
        </w:rPr>
        <w:t>Cheng2019_Antibiotic Resistance and Characteristics of Integrons.pdf</w:t>
      </w:r>
    </w:p>
    <w:p>
      <w:pPr>
        <w:pStyle w:val="ListBullet"/>
        <w:spacing w:before="40" w:after="40" w:line="240" w:lineRule="auto"/>
        <w:jc w:val="both"/>
      </w:pPr>
      <w:r>
        <w:rPr>
          <w:rFonts w:ascii="Times New Roman" w:hAnsi="Times New Roman"/>
          <w:b w:val="0"/>
          <w:i w:val="0"/>
          <w:sz w:val="24"/>
        </w:rPr>
        <w:t xml:space="preserve">Doyle &amp; Erickson (2015): </w:t>
      </w:r>
      <w:r>
        <w:rPr>
          <w:rFonts w:ascii="Times New Roman" w:hAnsi="Times New Roman"/>
          <w:b w:val="0"/>
          <w:i/>
          <w:sz w:val="24"/>
        </w:rPr>
        <w:t>Doyle2015.pdf</w:t>
      </w:r>
    </w:p>
    <w:p>
      <w:pPr>
        <w:pStyle w:val="ListBullet"/>
        <w:spacing w:before="40" w:after="40" w:line="240" w:lineRule="auto"/>
        <w:jc w:val="both"/>
      </w:pPr>
      <w:r>
        <w:rPr>
          <w:rFonts w:ascii="Times New Roman" w:hAnsi="Times New Roman"/>
          <w:b w:val="0"/>
          <w:i w:val="0"/>
          <w:sz w:val="24"/>
        </w:rPr>
        <w:t xml:space="preserve">Ejeh et al. (2017): </w:t>
      </w:r>
      <w:r>
        <w:rPr>
          <w:rFonts w:ascii="Times New Roman" w:hAnsi="Times New Roman"/>
          <w:b w:val="0"/>
          <w:i/>
          <w:sz w:val="24"/>
        </w:rPr>
        <w:t>Ejeh2017.pdf</w:t>
      </w:r>
    </w:p>
    <w:p>
      <w:pPr>
        <w:pStyle w:val="ListBullet"/>
        <w:spacing w:before="40" w:after="40" w:line="240" w:lineRule="auto"/>
        <w:jc w:val="both"/>
      </w:pPr>
      <w:r>
        <w:rPr>
          <w:rFonts w:ascii="Times New Roman" w:hAnsi="Times New Roman"/>
          <w:b w:val="0"/>
          <w:i w:val="0"/>
          <w:sz w:val="24"/>
        </w:rPr>
        <w:t xml:space="preserve">Fair &amp; Tor (2014): </w:t>
      </w:r>
      <w:r>
        <w:rPr>
          <w:rFonts w:ascii="Times New Roman" w:hAnsi="Times New Roman"/>
          <w:b w:val="0"/>
          <w:i/>
          <w:sz w:val="24"/>
        </w:rPr>
        <w:t>Fair2014.pdf</w:t>
      </w:r>
    </w:p>
    <w:p>
      <w:pPr>
        <w:pStyle w:val="ListBullet"/>
        <w:spacing w:before="40" w:after="40" w:line="240" w:lineRule="auto"/>
        <w:jc w:val="both"/>
      </w:pPr>
      <w:r>
        <w:rPr>
          <w:rFonts w:ascii="Times New Roman" w:hAnsi="Times New Roman"/>
          <w:b w:val="0"/>
          <w:i w:val="0"/>
          <w:sz w:val="24"/>
        </w:rPr>
        <w:t xml:space="preserve">Falgenhauer et al. (2019): </w:t>
      </w:r>
      <w:r>
        <w:rPr>
          <w:rFonts w:ascii="Times New Roman" w:hAnsi="Times New Roman"/>
          <w:b w:val="0"/>
          <w:i/>
          <w:sz w:val="24"/>
        </w:rPr>
        <w:t>Falgenhauer2019_Detection and Characterization of ESBL-Producing Escher.pdf</w:t>
      </w:r>
    </w:p>
    <w:p>
      <w:pPr>
        <w:pStyle w:val="ListBullet"/>
        <w:spacing w:before="40" w:after="40" w:line="240" w:lineRule="auto"/>
        <w:jc w:val="both"/>
      </w:pPr>
      <w:r>
        <w:rPr>
          <w:rFonts w:ascii="Times New Roman" w:hAnsi="Times New Roman"/>
          <w:b w:val="0"/>
          <w:i w:val="0"/>
          <w:sz w:val="24"/>
        </w:rPr>
        <w:t xml:space="preserve">Feng et al. (2025): </w:t>
      </w:r>
      <w:r>
        <w:rPr>
          <w:rFonts w:ascii="Times New Roman" w:hAnsi="Times New Roman"/>
          <w:b w:val="0"/>
          <w:i/>
          <w:sz w:val="24"/>
        </w:rPr>
        <w:t>Feng2025_Regional antimicrobial resistance gene flow among the One He.pdf</w:t>
      </w:r>
    </w:p>
    <w:p>
      <w:pPr>
        <w:pStyle w:val="ListBullet"/>
        <w:spacing w:before="40" w:after="40" w:line="240" w:lineRule="auto"/>
        <w:jc w:val="both"/>
      </w:pPr>
      <w:r>
        <w:rPr>
          <w:rFonts w:ascii="Times New Roman" w:hAnsi="Times New Roman"/>
          <w:b w:val="0"/>
          <w:i w:val="0"/>
          <w:sz w:val="24"/>
        </w:rPr>
        <w:t xml:space="preserve">Fonseca et al. (2005): </w:t>
      </w:r>
      <w:r>
        <w:rPr>
          <w:rFonts w:ascii="Times New Roman" w:hAnsi="Times New Roman"/>
          <w:b w:val="0"/>
          <w:i/>
          <w:sz w:val="24"/>
        </w:rPr>
        <w:t>Fonseca2005_intgr.pdf</w:t>
      </w:r>
    </w:p>
    <w:p>
      <w:pPr>
        <w:pStyle w:val="ListBullet"/>
        <w:spacing w:before="40" w:after="40" w:line="240" w:lineRule="auto"/>
        <w:jc w:val="both"/>
      </w:pPr>
      <w:r>
        <w:rPr>
          <w:rFonts w:ascii="Times New Roman" w:hAnsi="Times New Roman"/>
          <w:b w:val="0"/>
          <w:i w:val="0"/>
          <w:sz w:val="24"/>
        </w:rPr>
        <w:t xml:space="preserve">Goldstein et al. (2001): </w:t>
      </w:r>
      <w:r>
        <w:rPr>
          <w:rFonts w:ascii="Times New Roman" w:hAnsi="Times New Roman"/>
          <w:b w:val="0"/>
          <w:i/>
          <w:sz w:val="24"/>
        </w:rPr>
        <w:t>Goldstein2001.pdf</w:t>
      </w:r>
    </w:p>
    <w:p>
      <w:pPr>
        <w:pStyle w:val="ListBullet"/>
        <w:spacing w:before="40" w:after="40" w:line="240" w:lineRule="auto"/>
        <w:jc w:val="both"/>
      </w:pPr>
      <w:r>
        <w:rPr>
          <w:rFonts w:ascii="Times New Roman" w:hAnsi="Times New Roman"/>
          <w:b w:val="0"/>
          <w:i w:val="0"/>
          <w:sz w:val="24"/>
        </w:rPr>
        <w:t xml:space="preserve">Harbarth et al. (2015): </w:t>
      </w:r>
      <w:r>
        <w:rPr>
          <w:rFonts w:ascii="Times New Roman" w:hAnsi="Times New Roman"/>
          <w:b w:val="0"/>
          <w:i/>
          <w:sz w:val="24"/>
        </w:rPr>
        <w:t>participants2015_Antimicrobial resistance_ one world, one fight!.pdf</w:t>
      </w:r>
    </w:p>
    <w:p>
      <w:pPr>
        <w:pStyle w:val="ListBullet"/>
        <w:spacing w:before="40" w:after="40" w:line="240" w:lineRule="auto"/>
        <w:jc w:val="both"/>
      </w:pPr>
      <w:r>
        <w:rPr>
          <w:rFonts w:ascii="Times New Roman" w:hAnsi="Times New Roman"/>
          <w:b w:val="0"/>
          <w:i w:val="0"/>
          <w:sz w:val="24"/>
        </w:rPr>
        <w:t xml:space="preserve">Hassan et al. (2021): </w:t>
      </w:r>
      <w:r>
        <w:rPr>
          <w:rFonts w:ascii="Times New Roman" w:hAnsi="Times New Roman"/>
          <w:b w:val="0"/>
          <w:i/>
          <w:sz w:val="24"/>
        </w:rPr>
        <w:t>Hassan2021_Knowledge, Attitude, and Practices on Antimicrobial Use.pdf</w:t>
      </w:r>
    </w:p>
    <w:p>
      <w:pPr>
        <w:pStyle w:val="ListBullet"/>
        <w:spacing w:before="40" w:after="40" w:line="240" w:lineRule="auto"/>
        <w:jc w:val="both"/>
      </w:pPr>
      <w:r>
        <w:rPr>
          <w:rFonts w:ascii="Times New Roman" w:hAnsi="Times New Roman"/>
          <w:b w:val="0"/>
          <w:i w:val="0"/>
          <w:sz w:val="24"/>
        </w:rPr>
        <w:t xml:space="preserve">He et al. (2020): </w:t>
      </w:r>
      <w:r>
        <w:rPr>
          <w:rFonts w:ascii="Times New Roman" w:hAnsi="Times New Roman"/>
          <w:b w:val="0"/>
          <w:i/>
          <w:sz w:val="24"/>
        </w:rPr>
        <w:t>He2020_Antibiotic resistance genes from livestock waste_ occur.pdf</w:t>
      </w:r>
    </w:p>
    <w:p>
      <w:pPr>
        <w:pStyle w:val="ListBullet"/>
        <w:spacing w:before="40" w:after="40" w:line="240" w:lineRule="auto"/>
        <w:jc w:val="both"/>
      </w:pPr>
      <w:r>
        <w:rPr>
          <w:rFonts w:ascii="Times New Roman" w:hAnsi="Times New Roman"/>
          <w:b w:val="0"/>
          <w:i w:val="0"/>
          <w:sz w:val="24"/>
        </w:rPr>
        <w:t xml:space="preserve">Hedman et al. (2020): </w:t>
      </w:r>
      <w:r>
        <w:rPr>
          <w:rFonts w:ascii="Times New Roman" w:hAnsi="Times New Roman"/>
          <w:b w:val="0"/>
          <w:i/>
          <w:sz w:val="24"/>
        </w:rPr>
        <w:t>Hedman2020.pdf</w:t>
      </w:r>
    </w:p>
    <w:p>
      <w:pPr>
        <w:pStyle w:val="ListBullet"/>
        <w:spacing w:before="40" w:after="40" w:line="240" w:lineRule="auto"/>
        <w:jc w:val="both"/>
      </w:pPr>
      <w:r>
        <w:rPr>
          <w:rFonts w:ascii="Times New Roman" w:hAnsi="Times New Roman"/>
          <w:b w:val="0"/>
          <w:i w:val="0"/>
          <w:sz w:val="24"/>
        </w:rPr>
        <w:t xml:space="preserve">Heuer et al. (2011): </w:t>
      </w:r>
      <w:r>
        <w:rPr>
          <w:rFonts w:ascii="Times New Roman" w:hAnsi="Times New Roman"/>
          <w:b w:val="0"/>
          <w:i/>
          <w:sz w:val="24"/>
        </w:rPr>
        <w:t>Heuer2011.pdf</w:t>
      </w:r>
    </w:p>
    <w:p>
      <w:pPr>
        <w:pStyle w:val="ListBullet"/>
        <w:spacing w:before="40" w:after="40" w:line="240" w:lineRule="auto"/>
        <w:jc w:val="both"/>
      </w:pPr>
      <w:r>
        <w:rPr>
          <w:rFonts w:ascii="Times New Roman" w:hAnsi="Times New Roman"/>
          <w:b w:val="0"/>
          <w:i w:val="0"/>
          <w:sz w:val="24"/>
        </w:rPr>
        <w:t xml:space="preserve">Haulisah et al. (2021): </w:t>
      </w:r>
      <w:r>
        <w:rPr>
          <w:rFonts w:ascii="Times New Roman" w:hAnsi="Times New Roman"/>
          <w:b w:val="0"/>
          <w:i/>
          <w:sz w:val="24"/>
        </w:rPr>
        <w:t>Haulisah2021_High Levels of Antibiotic Resistance in Isolates From D.pdf</w:t>
      </w:r>
    </w:p>
    <w:p>
      <w:pPr>
        <w:pStyle w:val="ListBullet"/>
        <w:spacing w:before="40" w:after="40" w:line="240" w:lineRule="auto"/>
        <w:jc w:val="both"/>
      </w:pPr>
      <w:r>
        <w:rPr>
          <w:rFonts w:ascii="Times New Roman" w:hAnsi="Times New Roman"/>
          <w:b w:val="0"/>
          <w:i w:val="0"/>
          <w:sz w:val="24"/>
        </w:rPr>
        <w:t xml:space="preserve">Ibrahim et al. (2019): </w:t>
      </w:r>
      <w:r>
        <w:rPr>
          <w:rFonts w:ascii="Times New Roman" w:hAnsi="Times New Roman"/>
          <w:b w:val="0"/>
          <w:i/>
          <w:sz w:val="24"/>
        </w:rPr>
        <w:t>Ibrahim2019_Identification of Escherichia coli from broiler chicken.pdf</w:t>
      </w:r>
    </w:p>
    <w:p>
      <w:pPr>
        <w:pStyle w:val="ListBullet"/>
        <w:spacing w:before="40" w:after="40" w:line="240" w:lineRule="auto"/>
        <w:jc w:val="both"/>
      </w:pPr>
      <w:r>
        <w:rPr>
          <w:rFonts w:ascii="Times New Roman" w:hAnsi="Times New Roman"/>
          <w:b w:val="0"/>
          <w:i w:val="0"/>
          <w:sz w:val="24"/>
        </w:rPr>
        <w:t xml:space="preserve">Jechalke et al. (2013): </w:t>
      </w:r>
      <w:r>
        <w:rPr>
          <w:rFonts w:ascii="Times New Roman" w:hAnsi="Times New Roman"/>
          <w:b w:val="0"/>
          <w:i/>
          <w:sz w:val="24"/>
        </w:rPr>
        <w:t>Jechalke2013.pdf</w:t>
      </w:r>
    </w:p>
    <w:p>
      <w:pPr>
        <w:pStyle w:val="ListBullet"/>
        <w:spacing w:before="40" w:after="40" w:line="240" w:lineRule="auto"/>
        <w:jc w:val="both"/>
      </w:pPr>
      <w:r>
        <w:rPr>
          <w:rFonts w:ascii="Times New Roman" w:hAnsi="Times New Roman"/>
          <w:b w:val="0"/>
          <w:i w:val="0"/>
          <w:sz w:val="24"/>
        </w:rPr>
        <w:t xml:space="preserve">Johnson et al. (2016): </w:t>
      </w:r>
      <w:r>
        <w:rPr>
          <w:rFonts w:ascii="Times New Roman" w:hAnsi="Times New Roman"/>
          <w:b w:val="0"/>
          <w:i/>
          <w:sz w:val="24"/>
        </w:rPr>
        <w:t>Johnson2016.pdf</w:t>
      </w:r>
    </w:p>
    <w:p>
      <w:pPr>
        <w:pStyle w:val="ListBullet"/>
        <w:spacing w:before="40" w:after="40" w:line="240" w:lineRule="auto"/>
        <w:jc w:val="both"/>
      </w:pPr>
      <w:r>
        <w:rPr>
          <w:rFonts w:ascii="Times New Roman" w:hAnsi="Times New Roman"/>
          <w:b w:val="0"/>
          <w:i w:val="0"/>
          <w:sz w:val="24"/>
        </w:rPr>
        <w:t xml:space="preserve">Kamaruzzaman et al. (2020): </w:t>
      </w:r>
      <w:r>
        <w:rPr>
          <w:rFonts w:ascii="Times New Roman" w:hAnsi="Times New Roman"/>
          <w:b w:val="0"/>
          <w:i/>
          <w:sz w:val="24"/>
        </w:rPr>
        <w:t>Kamaruzzaman2020.pdf</w:t>
      </w:r>
    </w:p>
    <w:p>
      <w:pPr>
        <w:pStyle w:val="ListBullet"/>
        <w:spacing w:before="40" w:after="40" w:line="240" w:lineRule="auto"/>
        <w:jc w:val="both"/>
      </w:pPr>
      <w:r>
        <w:rPr>
          <w:rFonts w:ascii="Times New Roman" w:hAnsi="Times New Roman"/>
          <w:b w:val="0"/>
          <w:i w:val="0"/>
          <w:sz w:val="24"/>
        </w:rPr>
        <w:t xml:space="preserve">Khan et al. (2014): </w:t>
      </w:r>
      <w:r>
        <w:rPr>
          <w:rFonts w:ascii="Times New Roman" w:hAnsi="Times New Roman"/>
          <w:b w:val="0"/>
          <w:i/>
          <w:sz w:val="24"/>
        </w:rPr>
        <w:t>Khan2014.pdf</w:t>
      </w:r>
    </w:p>
    <w:p>
      <w:pPr>
        <w:pStyle w:val="ListBullet"/>
        <w:spacing w:before="40" w:after="40" w:line="240" w:lineRule="auto"/>
        <w:jc w:val="both"/>
      </w:pPr>
      <w:r>
        <w:rPr>
          <w:rFonts w:ascii="Times New Roman" w:hAnsi="Times New Roman"/>
          <w:b w:val="0"/>
          <w:i w:val="0"/>
          <w:sz w:val="24"/>
        </w:rPr>
        <w:t xml:space="preserve">Kilani et al. (2015): </w:t>
      </w:r>
      <w:r>
        <w:rPr>
          <w:rFonts w:ascii="Times New Roman" w:hAnsi="Times New Roman"/>
          <w:b w:val="0"/>
          <w:i/>
          <w:sz w:val="24"/>
        </w:rPr>
        <w:t>Kilani2015_Occurrence of blaCTX-M-1,qnrB1 and virulence genes in a.pdf</w:t>
      </w:r>
    </w:p>
    <w:p>
      <w:pPr>
        <w:pStyle w:val="ListBullet"/>
        <w:spacing w:before="40" w:after="40" w:line="240" w:lineRule="auto"/>
        <w:jc w:val="both"/>
      </w:pPr>
      <w:r>
        <w:rPr>
          <w:rFonts w:ascii="Times New Roman" w:hAnsi="Times New Roman"/>
          <w:b w:val="0"/>
          <w:i w:val="0"/>
          <w:sz w:val="24"/>
        </w:rPr>
        <w:t xml:space="preserve">Kyakuwaire et al. (2019): </w:t>
      </w:r>
      <w:r>
        <w:rPr>
          <w:rFonts w:ascii="Times New Roman" w:hAnsi="Times New Roman"/>
          <w:b w:val="0"/>
          <w:i/>
          <w:sz w:val="24"/>
        </w:rPr>
        <w:t>Kyakuwaire2019.pdf</w:t>
      </w:r>
    </w:p>
    <w:p>
      <w:pPr>
        <w:pStyle w:val="ListBullet"/>
        <w:spacing w:before="40" w:after="40" w:line="240" w:lineRule="auto"/>
        <w:jc w:val="both"/>
      </w:pPr>
      <w:r>
        <w:rPr>
          <w:rFonts w:ascii="Times New Roman" w:hAnsi="Times New Roman"/>
          <w:b w:val="0"/>
          <w:i w:val="0"/>
          <w:sz w:val="24"/>
        </w:rPr>
        <w:t xml:space="preserve">Lambraki et al. (2017): </w:t>
      </w:r>
      <w:r>
        <w:rPr>
          <w:rFonts w:ascii="Times New Roman" w:hAnsi="Times New Roman"/>
          <w:b w:val="0"/>
          <w:i/>
          <w:sz w:val="24"/>
        </w:rPr>
        <w:t>WestAfricaAMR2017.pdf</w:t>
      </w:r>
    </w:p>
    <w:p>
      <w:pPr>
        <w:pStyle w:val="ListBullet"/>
        <w:spacing w:before="40" w:after="40" w:line="240" w:lineRule="auto"/>
        <w:jc w:val="both"/>
      </w:pPr>
      <w:r>
        <w:rPr>
          <w:rFonts w:ascii="Times New Roman" w:hAnsi="Times New Roman"/>
          <w:b w:val="0"/>
          <w:i w:val="0"/>
          <w:sz w:val="24"/>
        </w:rPr>
        <w:t xml:space="preserve">Laxminarayan et al. (2013): </w:t>
      </w:r>
      <w:r>
        <w:rPr>
          <w:rFonts w:ascii="Times New Roman" w:hAnsi="Times New Roman"/>
          <w:b w:val="0"/>
          <w:i/>
          <w:sz w:val="24"/>
        </w:rPr>
        <w:t>Laxminarayan2013.pdf</w:t>
      </w:r>
    </w:p>
    <w:p>
      <w:pPr>
        <w:pStyle w:val="ListBullet"/>
        <w:spacing w:before="40" w:after="40" w:line="240" w:lineRule="auto"/>
        <w:jc w:val="both"/>
      </w:pPr>
      <w:r>
        <w:rPr>
          <w:rFonts w:ascii="Times New Roman" w:hAnsi="Times New Roman"/>
          <w:b w:val="0"/>
          <w:i w:val="0"/>
          <w:sz w:val="24"/>
        </w:rPr>
        <w:t xml:space="preserve">Lévesque et al. (1995): </w:t>
      </w:r>
      <w:r>
        <w:rPr>
          <w:rFonts w:ascii="Times New Roman" w:hAnsi="Times New Roman"/>
          <w:b w:val="0"/>
          <w:i/>
          <w:sz w:val="24"/>
        </w:rPr>
        <w:t>Levesque1995_intgr.pdf</w:t>
      </w:r>
    </w:p>
    <w:p>
      <w:pPr>
        <w:pStyle w:val="ListBullet"/>
        <w:spacing w:before="40" w:after="40" w:line="240" w:lineRule="auto"/>
        <w:jc w:val="both"/>
      </w:pPr>
      <w:r>
        <w:rPr>
          <w:rFonts w:ascii="Times New Roman" w:hAnsi="Times New Roman"/>
          <w:b w:val="0"/>
          <w:i w:val="0"/>
          <w:sz w:val="24"/>
        </w:rPr>
        <w:t xml:space="preserve">Maciel-Guerra et al. (2022): </w:t>
      </w:r>
      <w:r>
        <w:rPr>
          <w:rFonts w:ascii="Times New Roman" w:hAnsi="Times New Roman"/>
          <w:b w:val="0"/>
          <w:i/>
          <w:sz w:val="24"/>
        </w:rPr>
        <w:t>Maciel-Guerra2022_Dissecting microbial communities and resistomes for int.pdf</w:t>
      </w:r>
    </w:p>
    <w:p>
      <w:pPr>
        <w:pStyle w:val="ListBullet"/>
        <w:spacing w:before="40" w:after="40" w:line="240" w:lineRule="auto"/>
        <w:jc w:val="both"/>
      </w:pPr>
      <w:r>
        <w:rPr>
          <w:rFonts w:ascii="Times New Roman" w:hAnsi="Times New Roman"/>
          <w:b w:val="0"/>
          <w:i w:val="0"/>
          <w:sz w:val="24"/>
        </w:rPr>
        <w:t xml:space="preserve">Marti et al. (2013): </w:t>
      </w:r>
      <w:r>
        <w:rPr>
          <w:rFonts w:ascii="Times New Roman" w:hAnsi="Times New Roman"/>
          <w:b w:val="0"/>
          <w:i/>
          <w:sz w:val="24"/>
        </w:rPr>
        <w:t>Marti2013.pdf</w:t>
      </w:r>
    </w:p>
    <w:p>
      <w:pPr>
        <w:pStyle w:val="ListBullet"/>
        <w:spacing w:before="40" w:after="40" w:line="240" w:lineRule="auto"/>
        <w:jc w:val="both"/>
      </w:pPr>
      <w:r>
        <w:rPr>
          <w:rFonts w:ascii="Times New Roman" w:hAnsi="Times New Roman"/>
          <w:b w:val="0"/>
          <w:i w:val="0"/>
          <w:sz w:val="24"/>
        </w:rPr>
        <w:t xml:space="preserve">Mbelle et al. (2019): </w:t>
      </w:r>
      <w:r>
        <w:rPr>
          <w:rFonts w:ascii="Times New Roman" w:hAnsi="Times New Roman"/>
          <w:b w:val="0"/>
          <w:i/>
          <w:sz w:val="24"/>
        </w:rPr>
        <w:t>Mbelle2019.pdf</w:t>
      </w:r>
    </w:p>
    <w:p>
      <w:pPr>
        <w:pStyle w:val="ListBullet"/>
        <w:spacing w:before="40" w:after="40" w:line="240" w:lineRule="auto"/>
        <w:jc w:val="both"/>
      </w:pPr>
      <w:r>
        <w:rPr>
          <w:rFonts w:ascii="Times New Roman" w:hAnsi="Times New Roman"/>
          <w:b w:val="0"/>
          <w:i w:val="0"/>
          <w:sz w:val="24"/>
        </w:rPr>
        <w:t xml:space="preserve">Moffo et al. (2021): </w:t>
      </w:r>
      <w:r>
        <w:rPr>
          <w:rFonts w:ascii="Times New Roman" w:hAnsi="Times New Roman"/>
          <w:b w:val="0"/>
          <w:i/>
          <w:sz w:val="24"/>
        </w:rPr>
        <w:t>Moffo2021.pdf</w:t>
      </w:r>
    </w:p>
    <w:p>
      <w:pPr>
        <w:pStyle w:val="ListBullet"/>
        <w:spacing w:before="40" w:after="40" w:line="240" w:lineRule="auto"/>
        <w:jc w:val="both"/>
      </w:pPr>
      <w:r>
        <w:rPr>
          <w:rFonts w:ascii="Times New Roman" w:hAnsi="Times New Roman"/>
          <w:b w:val="0"/>
          <w:i w:val="0"/>
          <w:sz w:val="24"/>
        </w:rPr>
        <w:t xml:space="preserve">Mupfunya et al. (2020): </w:t>
      </w:r>
      <w:r>
        <w:rPr>
          <w:rFonts w:ascii="Times New Roman" w:hAnsi="Times New Roman"/>
          <w:b w:val="0"/>
          <w:i/>
          <w:sz w:val="24"/>
        </w:rPr>
        <w:t>Mupfunya2020_Antimicrobial use practices and resistance in indicator.pdf</w:t>
      </w:r>
    </w:p>
    <w:p>
      <w:pPr>
        <w:pStyle w:val="ListBullet"/>
        <w:spacing w:before="40" w:after="40" w:line="240" w:lineRule="auto"/>
        <w:jc w:val="both"/>
      </w:pPr>
      <w:r>
        <w:rPr>
          <w:rFonts w:ascii="Times New Roman" w:hAnsi="Times New Roman"/>
          <w:b w:val="0"/>
          <w:i w:val="0"/>
          <w:sz w:val="24"/>
        </w:rPr>
        <w:t xml:space="preserve">Murray et al. (2022): </w:t>
      </w:r>
      <w:r>
        <w:rPr>
          <w:rFonts w:ascii="Times New Roman" w:hAnsi="Times New Roman"/>
          <w:b w:val="0"/>
          <w:i/>
          <w:sz w:val="24"/>
        </w:rPr>
        <w:t>Murray2022.pdf</w:t>
      </w:r>
    </w:p>
    <w:p>
      <w:pPr>
        <w:pStyle w:val="ListBullet"/>
        <w:spacing w:before="40" w:after="40" w:line="240" w:lineRule="auto"/>
        <w:jc w:val="both"/>
      </w:pPr>
      <w:r>
        <w:rPr>
          <w:rFonts w:ascii="Times New Roman" w:hAnsi="Times New Roman"/>
          <w:b w:val="0"/>
          <w:i w:val="0"/>
          <w:sz w:val="24"/>
        </w:rPr>
        <w:t xml:space="preserve">Napit et al. (2025): </w:t>
      </w:r>
      <w:r>
        <w:rPr>
          <w:rFonts w:ascii="Times New Roman" w:hAnsi="Times New Roman"/>
          <w:b w:val="0"/>
          <w:i/>
          <w:sz w:val="24"/>
        </w:rPr>
        <w:t>Napit2025_Metagenomic analysis of human, animal, and environmental sam.pdf</w:t>
      </w:r>
    </w:p>
    <w:p>
      <w:pPr>
        <w:pStyle w:val="ListBullet"/>
        <w:spacing w:before="40" w:after="40" w:line="240" w:lineRule="auto"/>
        <w:jc w:val="both"/>
      </w:pPr>
      <w:r>
        <w:rPr>
          <w:rFonts w:ascii="Times New Roman" w:hAnsi="Times New Roman"/>
          <w:b w:val="0"/>
          <w:i w:val="0"/>
          <w:sz w:val="24"/>
        </w:rPr>
        <w:t xml:space="preserve">Ngogang et al. (2021): </w:t>
      </w:r>
      <w:r>
        <w:rPr>
          <w:rFonts w:ascii="Times New Roman" w:hAnsi="Times New Roman"/>
          <w:b w:val="0"/>
          <w:i/>
          <w:sz w:val="24"/>
        </w:rPr>
        <w:t>Ngogang2021.pdf</w:t>
      </w:r>
    </w:p>
    <w:p>
      <w:pPr>
        <w:pStyle w:val="ListBullet"/>
        <w:spacing w:before="40" w:after="40" w:line="240" w:lineRule="auto"/>
        <w:jc w:val="both"/>
      </w:pPr>
      <w:r>
        <w:rPr>
          <w:rFonts w:ascii="Times New Roman" w:hAnsi="Times New Roman"/>
          <w:b w:val="0"/>
          <w:i w:val="0"/>
          <w:sz w:val="24"/>
        </w:rPr>
        <w:t xml:space="preserve">Odonkor &amp; Addo (2018): </w:t>
      </w:r>
      <w:r>
        <w:rPr>
          <w:rFonts w:ascii="Times New Roman" w:hAnsi="Times New Roman"/>
          <w:b w:val="0"/>
          <w:i/>
          <w:sz w:val="24"/>
        </w:rPr>
        <w:t>Odonkor2018_Prevalence of Multidrug-Resistant_i_Escherichia coli__i.pdf</w:t>
      </w:r>
    </w:p>
    <w:p>
      <w:pPr>
        <w:pStyle w:val="ListBullet"/>
        <w:spacing w:before="40" w:after="40" w:line="240" w:lineRule="auto"/>
        <w:jc w:val="both"/>
      </w:pPr>
      <w:r>
        <w:rPr>
          <w:rFonts w:ascii="Times New Roman" w:hAnsi="Times New Roman"/>
          <w:b w:val="0"/>
          <w:i w:val="0"/>
          <w:sz w:val="24"/>
        </w:rPr>
        <w:t xml:space="preserve">Okoye et al. (2025): </w:t>
      </w:r>
      <w:r>
        <w:rPr>
          <w:rFonts w:ascii="Times New Roman" w:hAnsi="Times New Roman"/>
          <w:b w:val="0"/>
          <w:i/>
          <w:sz w:val="24"/>
        </w:rPr>
        <w:t>Ekpunobi2025_Prevalence of Multidrug-Resistant Escherichia coli O157_H7 i.pdf</w:t>
      </w:r>
    </w:p>
    <w:p>
      <w:pPr>
        <w:pStyle w:val="ListBullet"/>
        <w:spacing w:before="40" w:after="40" w:line="240" w:lineRule="auto"/>
        <w:jc w:val="both"/>
      </w:pPr>
      <w:r>
        <w:rPr>
          <w:rFonts w:ascii="Times New Roman" w:hAnsi="Times New Roman"/>
          <w:b w:val="0"/>
          <w:i w:val="0"/>
          <w:sz w:val="24"/>
        </w:rPr>
        <w:t xml:space="preserve">Oluwasile et al. (2014): </w:t>
      </w:r>
      <w:r>
        <w:rPr>
          <w:rFonts w:ascii="Times New Roman" w:hAnsi="Times New Roman"/>
          <w:b w:val="0"/>
          <w:i/>
          <w:sz w:val="24"/>
        </w:rPr>
        <w:t>Oluwasile2014.pdf</w:t>
      </w:r>
    </w:p>
    <w:p>
      <w:pPr>
        <w:pStyle w:val="ListBullet"/>
        <w:spacing w:before="40" w:after="40" w:line="240" w:lineRule="auto"/>
        <w:jc w:val="both"/>
      </w:pPr>
      <w:r>
        <w:rPr>
          <w:rFonts w:ascii="Times New Roman" w:hAnsi="Times New Roman"/>
          <w:b w:val="0"/>
          <w:i w:val="0"/>
          <w:sz w:val="24"/>
        </w:rPr>
        <w:t xml:space="preserve">Patra et al. (2025): </w:t>
      </w:r>
      <w:r>
        <w:rPr>
          <w:rFonts w:ascii="Times New Roman" w:hAnsi="Times New Roman"/>
          <w:b w:val="0"/>
          <w:i/>
          <w:sz w:val="24"/>
        </w:rPr>
        <w:t>Patra2025_Antimicrobial Resistance_ A Rising Global Threat to Pub.pdf</w:t>
      </w:r>
    </w:p>
    <w:p>
      <w:pPr>
        <w:pStyle w:val="ListBullet"/>
        <w:spacing w:before="40" w:after="40" w:line="240" w:lineRule="auto"/>
        <w:jc w:val="both"/>
      </w:pPr>
      <w:r>
        <w:rPr>
          <w:rFonts w:ascii="Times New Roman" w:hAnsi="Times New Roman"/>
          <w:b w:val="0"/>
          <w:i w:val="0"/>
          <w:sz w:val="24"/>
        </w:rPr>
        <w:t xml:space="preserve">Peng et al. (2022): </w:t>
      </w:r>
      <w:r>
        <w:rPr>
          <w:rFonts w:ascii="Times New Roman" w:hAnsi="Times New Roman"/>
          <w:b w:val="0"/>
          <w:i/>
          <w:sz w:val="24"/>
        </w:rPr>
        <w:t>Peng2022_Antimicrobial resistance and population genomics of mul.pdf</w:t>
      </w:r>
    </w:p>
    <w:p>
      <w:pPr>
        <w:pStyle w:val="ListBullet"/>
        <w:spacing w:before="40" w:after="40" w:line="240" w:lineRule="auto"/>
        <w:jc w:val="both"/>
      </w:pPr>
      <w:r>
        <w:rPr>
          <w:rFonts w:ascii="Times New Roman" w:hAnsi="Times New Roman"/>
          <w:b w:val="0"/>
          <w:i w:val="0"/>
          <w:sz w:val="24"/>
        </w:rPr>
        <w:t xml:space="preserve">Racewicz et al. (2022): </w:t>
      </w:r>
      <w:r>
        <w:rPr>
          <w:rFonts w:ascii="Times New Roman" w:hAnsi="Times New Roman"/>
          <w:b w:val="0"/>
          <w:i/>
          <w:sz w:val="24"/>
        </w:rPr>
        <w:t>Racewicz2022_Prevalence and characterisation of antimicrobial resist.pdf</w:t>
      </w:r>
    </w:p>
    <w:p>
      <w:pPr>
        <w:pStyle w:val="ListBullet"/>
        <w:spacing w:before="40" w:after="40" w:line="240" w:lineRule="auto"/>
        <w:jc w:val="both"/>
      </w:pPr>
      <w:r>
        <w:rPr>
          <w:rFonts w:ascii="Times New Roman" w:hAnsi="Times New Roman"/>
          <w:b w:val="0"/>
          <w:i w:val="0"/>
          <w:sz w:val="24"/>
        </w:rPr>
        <w:t xml:space="preserve">Ramírez-Castillo et al. (2023): </w:t>
      </w:r>
      <w:r>
        <w:rPr>
          <w:rFonts w:ascii="Times New Roman" w:hAnsi="Times New Roman"/>
          <w:b w:val="0"/>
          <w:i/>
          <w:sz w:val="24"/>
        </w:rPr>
        <w:t>RamirezCastillo2023.pdf</w:t>
      </w:r>
    </w:p>
    <w:p>
      <w:pPr>
        <w:pStyle w:val="ListBullet"/>
        <w:spacing w:before="40" w:after="40" w:line="240" w:lineRule="auto"/>
        <w:jc w:val="both"/>
      </w:pPr>
      <w:r>
        <w:rPr>
          <w:rFonts w:ascii="Times New Roman" w:hAnsi="Times New Roman"/>
          <w:b w:val="0"/>
          <w:i w:val="0"/>
          <w:sz w:val="24"/>
        </w:rPr>
        <w:t xml:space="preserve">Robins-Browne &amp; Hartland (2002): </w:t>
      </w:r>
      <w:r>
        <w:rPr>
          <w:rFonts w:ascii="Times New Roman" w:hAnsi="Times New Roman"/>
          <w:b w:val="0"/>
          <w:i/>
          <w:sz w:val="24"/>
        </w:rPr>
        <w:t>RobinsBrowne2005.pdf</w:t>
      </w:r>
    </w:p>
    <w:p>
      <w:pPr>
        <w:pStyle w:val="ListBullet"/>
        <w:spacing w:before="40" w:after="40" w:line="240" w:lineRule="auto"/>
        <w:jc w:val="both"/>
      </w:pPr>
      <w:r>
        <w:rPr>
          <w:rFonts w:ascii="Times New Roman" w:hAnsi="Times New Roman"/>
          <w:b w:val="0"/>
          <w:i w:val="0"/>
          <w:sz w:val="24"/>
        </w:rPr>
        <w:t xml:space="preserve">Roe &amp; Pillai (2003): </w:t>
      </w:r>
      <w:r>
        <w:rPr>
          <w:rFonts w:ascii="Times New Roman" w:hAnsi="Times New Roman"/>
          <w:b w:val="0"/>
          <w:i/>
          <w:sz w:val="24"/>
        </w:rPr>
        <w:t>Roe2003.pdf</w:t>
      </w:r>
    </w:p>
    <w:p>
      <w:pPr>
        <w:pStyle w:val="ListBullet"/>
        <w:spacing w:before="40" w:after="40" w:line="240" w:lineRule="auto"/>
        <w:jc w:val="both"/>
      </w:pPr>
      <w:r>
        <w:rPr>
          <w:rFonts w:ascii="Times New Roman" w:hAnsi="Times New Roman"/>
          <w:b w:val="0"/>
          <w:i w:val="0"/>
          <w:sz w:val="24"/>
        </w:rPr>
        <w:t xml:space="preserve">Sharma et al. (2024): </w:t>
      </w:r>
      <w:r>
        <w:rPr>
          <w:rFonts w:ascii="Times New Roman" w:hAnsi="Times New Roman"/>
          <w:b w:val="0"/>
          <w:i/>
          <w:sz w:val="24"/>
        </w:rPr>
        <w:t>Sharma2024_Emerging challenges in antimicrobial resistance_ implic.pdf</w:t>
      </w:r>
    </w:p>
    <w:p>
      <w:pPr>
        <w:pStyle w:val="ListBullet"/>
        <w:spacing w:before="40" w:after="40" w:line="240" w:lineRule="auto"/>
        <w:jc w:val="both"/>
      </w:pPr>
      <w:r>
        <w:rPr>
          <w:rFonts w:ascii="Times New Roman" w:hAnsi="Times New Roman"/>
          <w:b w:val="0"/>
          <w:i w:val="0"/>
          <w:sz w:val="24"/>
        </w:rPr>
        <w:t xml:space="preserve">Tama et al. (2019): </w:t>
      </w:r>
      <w:r>
        <w:rPr>
          <w:rFonts w:ascii="Times New Roman" w:hAnsi="Times New Roman"/>
          <w:b w:val="0"/>
          <w:i/>
          <w:sz w:val="24"/>
        </w:rPr>
        <w:t>Tama2019.pdf</w:t>
      </w:r>
    </w:p>
    <w:p>
      <w:pPr>
        <w:pStyle w:val="ListBullet"/>
        <w:spacing w:before="40" w:after="40" w:line="240" w:lineRule="auto"/>
        <w:jc w:val="both"/>
      </w:pPr>
      <w:r>
        <w:rPr>
          <w:rFonts w:ascii="Times New Roman" w:hAnsi="Times New Roman"/>
          <w:b w:val="0"/>
          <w:i w:val="0"/>
          <w:sz w:val="24"/>
        </w:rPr>
        <w:t xml:space="preserve">Tilman et al. (2011): </w:t>
      </w:r>
      <w:r>
        <w:rPr>
          <w:rFonts w:ascii="Times New Roman" w:hAnsi="Times New Roman"/>
          <w:b w:val="0"/>
          <w:i/>
          <w:sz w:val="24"/>
        </w:rPr>
        <w:t>Tilman2011.pdf</w:t>
      </w:r>
    </w:p>
    <w:p>
      <w:pPr>
        <w:pStyle w:val="ListBullet"/>
        <w:spacing w:before="40" w:after="40" w:line="240" w:lineRule="auto"/>
        <w:jc w:val="both"/>
      </w:pPr>
      <w:r>
        <w:rPr>
          <w:rFonts w:ascii="Times New Roman" w:hAnsi="Times New Roman"/>
          <w:b w:val="0"/>
          <w:i w:val="0"/>
          <w:sz w:val="24"/>
        </w:rPr>
        <w:t xml:space="preserve">Tiseo et al. (2020): </w:t>
      </w:r>
      <w:r>
        <w:rPr>
          <w:rFonts w:ascii="Times New Roman" w:hAnsi="Times New Roman"/>
          <w:b w:val="0"/>
          <w:i/>
          <w:sz w:val="24"/>
        </w:rPr>
        <w:t>Tiseo2020_Global Trends in Antimicrobial Use in Food Animals from.pdf</w:t>
      </w:r>
    </w:p>
    <w:p>
      <w:pPr>
        <w:pStyle w:val="ListBullet"/>
        <w:spacing w:before="40" w:after="40" w:line="240" w:lineRule="auto"/>
        <w:jc w:val="both"/>
      </w:pPr>
      <w:r>
        <w:rPr>
          <w:rFonts w:ascii="Times New Roman" w:hAnsi="Times New Roman"/>
          <w:b w:val="0"/>
          <w:i w:val="0"/>
          <w:sz w:val="24"/>
        </w:rPr>
        <w:t xml:space="preserve">Van Boeckel et al. (2015): </w:t>
      </w:r>
      <w:r>
        <w:rPr>
          <w:rFonts w:ascii="Times New Roman" w:hAnsi="Times New Roman"/>
          <w:b w:val="0"/>
          <w:i/>
          <w:sz w:val="24"/>
        </w:rPr>
        <w:t>VanBoeckel2015.pdf</w:t>
      </w:r>
    </w:p>
    <w:p>
      <w:pPr>
        <w:pStyle w:val="ListBullet"/>
        <w:spacing w:before="40" w:after="40" w:line="240" w:lineRule="auto"/>
        <w:jc w:val="both"/>
      </w:pPr>
      <w:r>
        <w:rPr>
          <w:rFonts w:ascii="Times New Roman" w:hAnsi="Times New Roman"/>
          <w:b w:val="0"/>
          <w:i w:val="0"/>
          <w:sz w:val="24"/>
        </w:rPr>
        <w:t xml:space="preserve">Van Epps &amp; Blaney (2016): </w:t>
      </w:r>
      <w:r>
        <w:rPr>
          <w:rFonts w:ascii="Times New Roman" w:hAnsi="Times New Roman"/>
          <w:b w:val="0"/>
          <w:i/>
          <w:sz w:val="24"/>
        </w:rPr>
        <w:t>Epps2016_Antibiotic Residues in Animal Waste_ Occurrence and Deg.pdf</w:t>
      </w:r>
    </w:p>
    <w:p>
      <w:pPr>
        <w:pStyle w:val="ListBullet"/>
        <w:spacing w:before="40" w:after="40" w:line="240" w:lineRule="auto"/>
        <w:jc w:val="both"/>
      </w:pPr>
      <w:r>
        <w:rPr>
          <w:rFonts w:ascii="Times New Roman" w:hAnsi="Times New Roman"/>
          <w:b w:val="0"/>
          <w:i w:val="0"/>
          <w:sz w:val="24"/>
        </w:rPr>
        <w:t xml:space="preserve">Wang et al. (2021): </w:t>
      </w:r>
      <w:r>
        <w:rPr>
          <w:rFonts w:ascii="Times New Roman" w:hAnsi="Times New Roman"/>
          <w:b w:val="0"/>
          <w:i/>
          <w:sz w:val="24"/>
        </w:rPr>
        <w:t>Wang2021_Antibiotic resistance in the soil ecosystem_ A One Heal.pdf</w:t>
      </w:r>
    </w:p>
    <w:p>
      <w:pPr>
        <w:pStyle w:val="ListBullet"/>
        <w:spacing w:before="40" w:after="40" w:line="240" w:lineRule="auto"/>
        <w:jc w:val="both"/>
      </w:pPr>
      <w:r>
        <w:rPr>
          <w:rFonts w:ascii="Times New Roman" w:hAnsi="Times New Roman"/>
          <w:b w:val="0"/>
          <w:i w:val="0"/>
          <w:sz w:val="24"/>
        </w:rPr>
        <w:t xml:space="preserve">Wang et al. (2023): </w:t>
      </w:r>
      <w:r>
        <w:rPr>
          <w:rFonts w:ascii="Times New Roman" w:hAnsi="Times New Roman"/>
          <w:b w:val="0"/>
          <w:i/>
          <w:sz w:val="24"/>
        </w:rPr>
        <w:t>Wang2023_Cooperative antibiotic resistance facilitates horizontal gen.pdf</w:t>
      </w:r>
    </w:p>
    <w:p>
      <w:pPr>
        <w:pStyle w:val="ListBullet"/>
        <w:spacing w:before="40" w:after="40" w:line="240" w:lineRule="auto"/>
        <w:jc w:val="both"/>
      </w:pPr>
      <w:r>
        <w:rPr>
          <w:rFonts w:ascii="Times New Roman" w:hAnsi="Times New Roman"/>
          <w:b w:val="0"/>
          <w:i w:val="0"/>
          <w:sz w:val="24"/>
        </w:rPr>
        <w:t xml:space="preserve">Wu et al. (2015): </w:t>
      </w:r>
      <w:r>
        <w:rPr>
          <w:rFonts w:ascii="Times New Roman" w:hAnsi="Times New Roman"/>
          <w:b w:val="0"/>
          <w:i/>
          <w:sz w:val="24"/>
        </w:rPr>
        <w:t>Wu2015_Identification of integrons and phylogenetic groups of.pdf</w:t>
      </w:r>
    </w:p>
    <w:p>
      <w:pPr>
        <w:pStyle w:val="ListBullet"/>
        <w:spacing w:before="40" w:after="40" w:line="240" w:lineRule="auto"/>
        <w:jc w:val="both"/>
      </w:pPr>
      <w:r>
        <w:rPr>
          <w:rFonts w:ascii="Times New Roman" w:hAnsi="Times New Roman"/>
          <w:b w:val="0"/>
          <w:i w:val="0"/>
          <w:sz w:val="24"/>
        </w:rPr>
        <w:t xml:space="preserve">Yakubu et al. (2020): </w:t>
      </w:r>
      <w:r>
        <w:rPr>
          <w:rFonts w:ascii="Times New Roman" w:hAnsi="Times New Roman"/>
          <w:b w:val="0"/>
          <w:i/>
          <w:sz w:val="24"/>
        </w:rPr>
        <w:t>Yakubu2020_Isolation, Molecular Detection and Antimicrobial Susceptibil.pdf</w:t>
      </w:r>
    </w:p>
    <w:p>
      <w:pPr>
        <w:pStyle w:val="ListBullet"/>
        <w:spacing w:before="40" w:after="40" w:line="240" w:lineRule="auto"/>
        <w:jc w:val="both"/>
      </w:pPr>
      <w:r>
        <w:rPr>
          <w:rFonts w:ascii="Times New Roman" w:hAnsi="Times New Roman"/>
          <w:b w:val="0"/>
          <w:i w:val="0"/>
          <w:sz w:val="24"/>
        </w:rPr>
        <w:t xml:space="preserve">Yin et al. (2017): </w:t>
      </w:r>
      <w:r>
        <w:rPr>
          <w:rFonts w:ascii="Times New Roman" w:hAnsi="Times New Roman"/>
          <w:b w:val="0"/>
          <w:i/>
          <w:sz w:val="24"/>
        </w:rPr>
        <w:t>Yin2017_Effects of Copper Addition on Copper Resistance, Antibi.pdf</w:t>
      </w:r>
    </w:p>
    <w:p>
      <w:r>
        <w:br w:type="page"/>
      </w:r>
    </w:p>
    <w:p>
      <w:pPr>
        <w:pStyle w:val="Heading1"/>
        <w:spacing w:before="240" w:after="120" w:line="480" w:lineRule="auto"/>
        <w:jc w:val="center"/>
      </w:pPr>
      <w:r>
        <w:rPr>
          <w:rFonts w:ascii="Times New Roman" w:hAnsi="Times New Roman"/>
          <w:b/>
          <w:i w:val="0"/>
          <w:color w:val="000000"/>
          <w:sz w:val="28"/>
        </w:rPr>
        <w:t>CHAPTER THREE</w:t>
      </w:r>
    </w:p>
    <w:p>
      <w:pPr>
        <w:pStyle w:val="Heading2"/>
        <w:spacing w:before="240" w:after="120" w:line="480" w:lineRule="auto"/>
        <w:jc w:val="left"/>
      </w:pPr>
      <w:r>
        <w:rPr>
          <w:rFonts w:ascii="Times New Roman" w:hAnsi="Times New Roman"/>
          <w:b/>
          <w:i w:val="0"/>
          <w:color w:val="000000"/>
          <w:sz w:val="24"/>
        </w:rPr>
        <w:t>MATERIALS AND METHODS</w:t>
      </w: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Tense note:</w:t>
      </w:r>
      <w:r>
        <w:rPr>
          <w:rFonts w:ascii="Times New Roman" w:hAnsi="Times New Roman"/>
          <w:b w:val="0"/>
          <w:i/>
          <w:sz w:val="22"/>
        </w:rPr>
        <w:t xml:space="preserve"> This entire chapter is written in the past tense, all laboratory work has been completed.  </w:t>
      </w:r>
      <w:r>
        <w:rPr>
          <w:rFonts w:ascii="Times New Roman" w:hAnsi="Times New Roman"/>
          <w:b/>
          <w:i/>
          <w:sz w:val="22"/>
        </w:rPr>
        <w:t>Citation note:</w:t>
      </w:r>
      <w:r>
        <w:rPr>
          <w:rFonts w:ascii="Times New Roman" w:hAnsi="Times New Roman"/>
          <w:b w:val="0"/>
          <w:i/>
          <w:sz w:val="22"/>
        </w:rPr>
        <w:t xml:space="preserve"> The following references are standard methodology standards/textbooks not stored as PDFs in </w:t>
      </w:r>
      <w:r>
        <w:rPr>
          <w:rFonts w:ascii="Times New Roman" w:hAnsi="Times New Roman"/>
          <w:b w:val="0"/>
          <w:i/>
          <w:sz w:val="22"/>
        </w:rPr>
        <w:t>Literatures/</w:t>
      </w:r>
      <w:r>
        <w:rPr>
          <w:rFonts w:ascii="Times New Roman" w:hAnsi="Times New Roman"/>
          <w:b w:val="0"/>
          <w:i/>
          <w:sz w:val="22"/>
        </w:rPr>
        <w:t xml:space="preserve"> but are essential and universally expected in this chapter. Confirm APA details before final submission: - CLSI (2024): Clinical Laboratory Standards Institute performance standards (standards document) - Thrusfield, M. (2007). </w:t>
      </w:r>
      <w:r>
        <w:rPr>
          <w:rFonts w:ascii="Times New Roman" w:hAnsi="Times New Roman"/>
          <w:b w:val="0"/>
          <w:i/>
          <w:sz w:val="22"/>
        </w:rPr>
        <w:t>Veterinary Epidemiology</w:t>
      </w:r>
      <w:r>
        <w:rPr>
          <w:rFonts w:ascii="Times New Roman" w:hAnsi="Times New Roman"/>
          <w:b w:val="0"/>
          <w:i/>
          <w:sz w:val="22"/>
        </w:rPr>
        <w:t xml:space="preserve"> (3rd ed.). Blackwell Science. (textbook) - Cheesbrough, M. (2006). </w:t>
      </w:r>
      <w:r>
        <w:rPr>
          <w:rFonts w:ascii="Times New Roman" w:hAnsi="Times New Roman"/>
          <w:b w:val="0"/>
          <w:i/>
          <w:sz w:val="22"/>
        </w:rPr>
        <w:t>District Laboratory Practice in Tropical Countries</w:t>
      </w:r>
      <w:r>
        <w:rPr>
          <w:rFonts w:ascii="Times New Roman" w:hAnsi="Times New Roman"/>
          <w:b w:val="0"/>
          <w:i/>
          <w:sz w:val="22"/>
        </w:rPr>
        <w:t xml:space="preserve"> (2nd ed.). Cambridge University Press. (lab manual) - Lane, D. J. (1991). 16S/23S rRNA sequencing. In E. Stackebrandt &amp; M. Goodfellow (Eds.), </w:t>
      </w:r>
      <w:r>
        <w:rPr>
          <w:rFonts w:ascii="Times New Roman" w:hAnsi="Times New Roman"/>
          <w:b w:val="0"/>
          <w:i/>
          <w:sz w:val="22"/>
        </w:rPr>
        <w:t>Nucleic Acid Techniques in Bacterial Systematics</w:t>
      </w:r>
      <w:r>
        <w:rPr>
          <w:rFonts w:ascii="Times New Roman" w:hAnsi="Times New Roman"/>
          <w:b w:val="0"/>
          <w:i/>
          <w:sz w:val="22"/>
        </w:rPr>
        <w:t xml:space="preserve"> (pp. 115–175). Wiley. (book chapter)</w:t>
      </w:r>
    </w:p>
    <w:p>
      <w:pPr>
        <w:pStyle w:val="Heading3"/>
        <w:spacing w:before="120" w:after="60" w:line="480" w:lineRule="auto"/>
        <w:jc w:val="left"/>
      </w:pPr>
      <w:r>
        <w:rPr>
          <w:rFonts w:ascii="Times New Roman" w:hAnsi="Times New Roman"/>
          <w:b/>
          <w:i w:val="0"/>
          <w:color w:val="000000"/>
          <w:sz w:val="24"/>
        </w:rPr>
        <w:t>3.1 Study Area</w:t>
      </w:r>
    </w:p>
    <w:p>
      <w:pPr>
        <w:spacing w:before="0" w:after="120" w:line="480" w:lineRule="auto"/>
        <w:jc w:val="both"/>
      </w:pPr>
      <w:r>
        <w:rPr>
          <w:rFonts w:ascii="Times New Roman" w:hAnsi="Times New Roman"/>
          <w:b w:val="0"/>
          <w:i w:val="0"/>
          <w:sz w:val="24"/>
        </w:rPr>
        <w:t>The study was conducted in Zaria Metropolis, located in the northern part of Kaduna State, North-West Nigeria, at approximately latitude 11°04′N and longitude 7°42′E. Zaria Metropolis is administered under two Local Government Areas: Zaria Local Government Area and Sabon Gari Local Government Area, and comprises eight traditional districts. The estimated population of Zaria Metropolis at the time of the study exceeded 400,000 residents, making it one of the largest urban centres in Kaduna State and a significant commercial hub in North-West Nigeria.</w:t>
      </w:r>
    </w:p>
    <w:p>
      <w:pPr>
        <w:spacing w:before="0" w:after="120" w:line="480" w:lineRule="auto"/>
        <w:jc w:val="both"/>
      </w:pPr>
      <w:r>
        <w:rPr>
          <w:rFonts w:ascii="Times New Roman" w:hAnsi="Times New Roman"/>
          <w:b w:val="0"/>
          <w:i w:val="0"/>
          <w:sz w:val="24"/>
        </w:rPr>
        <w:t>The metropolis falls within the Northern Guinea Savannah ecological zone and is characterized by a tropical continental climate with two clearly distinct seasons: a rainy season spanning approximately May to October, with annual rainfall ranging from 1,000 to 1,200 millimetres, and a dry harmattan season from November to April. Daily temperatures fluctuate between approximately 14°C during cooler harmattan periods and 34°C at peak dry-season temperatures. The vegetation is typical of the Guinea Savannah, open woodland interspersed with grassland and farmland.</w:t>
      </w:r>
    </w:p>
    <w:p>
      <w:pPr>
        <w:spacing w:before="0" w:after="120" w:line="480" w:lineRule="auto"/>
        <w:jc w:val="both"/>
      </w:pPr>
      <w:r>
        <w:rPr>
          <w:rFonts w:ascii="Times New Roman" w:hAnsi="Times New Roman"/>
          <w:b w:val="0"/>
          <w:i w:val="0"/>
          <w:sz w:val="24"/>
        </w:rPr>
        <w:t>Poultry farming constitutes one of the dominant agricultural enterprises in Zaria Metropolis and its surrounding peri-urban areas, ranging from small-scale household layer and broiler operations to large-scale intensive commercial farms supplying poultry meat and eggs to the urban market. The growth of the commercial poultry sector has generated correspondingly large volumes of poultry manure, which is widely traded as an organic fertilizer through informal vendor markets operating across the metropolis. These vendor markets represent important nodes in the urban agricultural supply chain, supplying manure directly to smallholder urban farmers, household vegetable gardeners, and fish farmers. Eight such vendor locations distributed across Zaria and Sabon Gari LGAs were identified and included in this study based on their established commercial activity and accessibility (Figure 3.1).</w:t>
      </w: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[Figure 3.1: Map of Kaduna State, Nigeria, showing the location of Zaria Metropolis and the eight poultry manure vendor sampling points. Source: Adapted from administrative boundary maps of Kaduna State, Nigeria.]</w:t>
      </w:r>
    </w:p>
    <w:p>
      <w:pPr>
        <w:pStyle w:val="Heading3"/>
        <w:spacing w:before="120" w:after="60" w:line="480" w:lineRule="auto"/>
        <w:jc w:val="left"/>
      </w:pPr>
      <w:r>
        <w:rPr>
          <w:rFonts w:ascii="Times New Roman" w:hAnsi="Times New Roman"/>
          <w:b/>
          <w:i w:val="0"/>
          <w:color w:val="000000"/>
          <w:sz w:val="24"/>
        </w:rPr>
        <w:t>3.2 Study Design</w:t>
      </w:r>
    </w:p>
    <w:p>
      <w:pPr>
        <w:spacing w:before="0" w:after="120" w:line="480" w:lineRule="auto"/>
        <w:jc w:val="both"/>
      </w:pPr>
      <w:r>
        <w:rPr>
          <w:rFonts w:ascii="Times New Roman" w:hAnsi="Times New Roman"/>
          <w:b w:val="0"/>
          <w:i w:val="0"/>
          <w:sz w:val="24"/>
        </w:rPr>
        <w:t xml:space="preserve">A cross-sectional study was conducted to determine the prevalence of multidrug-resistant </w:t>
      </w:r>
      <w:r>
        <w:rPr>
          <w:rFonts w:ascii="Times New Roman" w:hAnsi="Times New Roman"/>
          <w:b w:val="0"/>
          <w:i/>
          <w:sz w:val="24"/>
        </w:rPr>
        <w:t>Escherichia coli</w:t>
      </w:r>
      <w:r>
        <w:rPr>
          <w:rFonts w:ascii="Times New Roman" w:hAnsi="Times New Roman"/>
          <w:b w:val="0"/>
          <w:i w:val="0"/>
          <w:sz w:val="24"/>
        </w:rPr>
        <w:t xml:space="preserve"> bearing Class I and Class II integrons in commercial poultry manure obtained from vendors in Zaria Metropolis. The cross-sectional design was selected because it is appropriate for estimating the prevalence of AMR at a defined point in time, is cost-effective, and provides a representative snapshot of the AMR burden in vendor-sourced poultry litter in the study area. Poultry manure samples were collected from eight designated vendor locations across Zaria and Sabon Gari Local Government Areas during [month(s), year, confirm collection period before final submission].</w:t>
      </w:r>
    </w:p>
    <w:p>
      <w:pPr>
        <w:pStyle w:val="Heading3"/>
        <w:spacing w:before="120" w:after="60" w:line="480" w:lineRule="auto"/>
        <w:jc w:val="left"/>
      </w:pPr>
      <w:r>
        <w:rPr>
          <w:rFonts w:ascii="Times New Roman" w:hAnsi="Times New Roman"/>
          <w:b/>
          <w:i w:val="0"/>
          <w:color w:val="000000"/>
          <w:sz w:val="24"/>
        </w:rPr>
        <w:t>3.3 Sample Size Determination</w:t>
      </w:r>
    </w:p>
    <w:p>
      <w:pPr>
        <w:spacing w:before="0" w:after="120" w:line="480" w:lineRule="auto"/>
        <w:jc w:val="both"/>
      </w:pPr>
      <w:r>
        <w:rPr>
          <w:rFonts w:ascii="Times New Roman" w:hAnsi="Times New Roman"/>
          <w:b w:val="0"/>
          <w:i w:val="0"/>
          <w:sz w:val="24"/>
        </w:rPr>
        <w:t>The minimum sample size required for the study was calculated using Thrusfield's (2007) formula for cross-sectional prevalence studies:</w:t>
      </w:r>
    </w:p>
    <w:p>
      <w:pPr>
        <w:spacing w:before="0" w:after="120" w:line="480" w:lineRule="auto"/>
        <w:jc w:val="both"/>
      </w:pPr>
      <w:r>
        <w:rPr>
          <w:rFonts w:ascii="Times New Roman" w:hAnsi="Times New Roman"/>
          <w:b w:val="0"/>
          <w:i w:val="0"/>
          <w:sz w:val="24"/>
        </w:rPr>
        <w:t>$$n = \frac{Z^{2}\, p\,(1 - p)}{d^{2}}$$</w:t>
      </w:r>
    </w:p>
    <w:p>
      <w:pPr>
        <w:spacing w:before="0" w:after="120" w:line="480" w:lineRule="auto"/>
        <w:jc w:val="both"/>
      </w:pPr>
      <w:r>
        <w:rPr>
          <w:rFonts w:ascii="Times New Roman" w:hAnsi="Times New Roman"/>
          <w:b w:val="0"/>
          <w:i w:val="0"/>
          <w:sz w:val="24"/>
        </w:rPr>
        <w:t>Where:</w:t>
      </w:r>
    </w:p>
    <w:p>
      <w:pPr>
        <w:pStyle w:val="ListBullet"/>
        <w:spacing w:before="40" w:after="40" w:line="240" w:lineRule="auto"/>
        <w:jc w:val="both"/>
      </w:pPr>
      <w:r>
        <w:rPr>
          <w:rFonts w:ascii="Times New Roman" w:hAnsi="Times New Roman"/>
          <w:b w:val="0"/>
          <w:i/>
          <w:sz w:val="24"/>
        </w:rPr>
        <w:t>n</w:t>
      </w:r>
      <w:r>
        <w:rPr>
          <w:rFonts w:ascii="Times New Roman" w:hAnsi="Times New Roman"/>
          <w:b w:val="0"/>
          <w:i w:val="0"/>
          <w:sz w:val="24"/>
        </w:rPr>
        <w:t xml:space="preserve"> = required minimum sample size</w:t>
      </w:r>
    </w:p>
    <w:p>
      <w:pPr>
        <w:pStyle w:val="ListBullet"/>
        <w:spacing w:before="40" w:after="40" w:line="240" w:lineRule="auto"/>
        <w:jc w:val="both"/>
      </w:pPr>
      <w:r>
        <w:rPr>
          <w:rFonts w:ascii="Times New Roman" w:hAnsi="Times New Roman"/>
          <w:b w:val="0"/>
          <w:i/>
          <w:sz w:val="24"/>
        </w:rPr>
        <w:t>Z</w:t>
      </w:r>
      <w:r>
        <w:rPr>
          <w:rFonts w:ascii="Times New Roman" w:hAnsi="Times New Roman"/>
          <w:b w:val="0"/>
          <w:i w:val="0"/>
          <w:sz w:val="24"/>
        </w:rPr>
        <w:t xml:space="preserve"> = 1.96 (the standard normal deviate corresponding to a 95% confidence interval)</w:t>
      </w:r>
    </w:p>
    <w:p>
      <w:pPr>
        <w:pStyle w:val="ListBullet"/>
        <w:spacing w:before="40" w:after="40" w:line="240" w:lineRule="auto"/>
        <w:jc w:val="both"/>
      </w:pPr>
      <w:r>
        <w:rPr>
          <w:rFonts w:ascii="Times New Roman" w:hAnsi="Times New Roman"/>
          <w:b w:val="0"/>
          <w:i/>
          <w:sz w:val="24"/>
        </w:rPr>
        <w:t>p</w:t>
      </w:r>
      <w:r>
        <w:rPr>
          <w:rFonts w:ascii="Times New Roman" w:hAnsi="Times New Roman"/>
          <w:b w:val="0"/>
          <w:i w:val="0"/>
          <w:sz w:val="24"/>
        </w:rPr>
        <w:t xml:space="preserve"> = 0.90 (estimated prevalence of MDR </w:t>
      </w:r>
      <w:r>
        <w:rPr>
          <w:rFonts w:ascii="Times New Roman" w:hAnsi="Times New Roman"/>
          <w:b w:val="0"/>
          <w:i/>
          <w:sz w:val="24"/>
        </w:rPr>
        <w:t>E. coli</w:t>
      </w:r>
      <w:r>
        <w:rPr>
          <w:rFonts w:ascii="Times New Roman" w:hAnsi="Times New Roman"/>
          <w:b w:val="0"/>
          <w:i w:val="0"/>
          <w:sz w:val="24"/>
        </w:rPr>
        <w:t xml:space="preserve"> in poultry environments based on prior studies in the Nigerian poultry sector)</w:t>
      </w:r>
    </w:p>
    <w:p>
      <w:pPr>
        <w:pStyle w:val="ListBullet"/>
        <w:spacing w:before="40" w:after="40" w:line="240" w:lineRule="auto"/>
        <w:jc w:val="both"/>
      </w:pPr>
      <w:r>
        <w:rPr>
          <w:rFonts w:ascii="Times New Roman" w:hAnsi="Times New Roman"/>
          <w:b w:val="0"/>
          <w:i/>
          <w:sz w:val="24"/>
        </w:rPr>
        <w:t>d</w:t>
      </w:r>
      <w:r>
        <w:rPr>
          <w:rFonts w:ascii="Times New Roman" w:hAnsi="Times New Roman"/>
          <w:b w:val="0"/>
          <w:i w:val="0"/>
          <w:sz w:val="24"/>
        </w:rPr>
        <w:t xml:space="preserve"> = 0.05 (desired absolute precision of 5%)</w:t>
      </w:r>
    </w:p>
    <w:p>
      <w:pPr>
        <w:spacing w:before="0" w:after="120" w:line="480" w:lineRule="auto"/>
        <w:jc w:val="both"/>
      </w:pPr>
      <w:r>
        <w:rPr>
          <w:rFonts w:ascii="Times New Roman" w:hAnsi="Times New Roman"/>
          <w:b w:val="0"/>
          <w:i w:val="0"/>
          <w:sz w:val="24"/>
        </w:rPr>
        <w:t>Substituting:</w:t>
      </w:r>
    </w:p>
    <w:p>
      <w:pPr>
        <w:spacing w:before="0" w:after="120" w:line="480" w:lineRule="auto"/>
        <w:jc w:val="both"/>
      </w:pPr>
      <w:r>
        <w:rPr>
          <w:rFonts w:ascii="Times New Roman" w:hAnsi="Times New Roman"/>
          <w:b w:val="0"/>
          <w:i w:val="0"/>
          <w:sz w:val="24"/>
        </w:rPr>
        <w:t>$$n = \frac{(1.96)^{2} \times 0.90 \times (1 - 0.90)}{(0.05)^{2}} = \frac{3.8416 \times 0.90 \times 0.10}{0.0025} = \frac{0.3457}{0.0025} \approx 138$$</w:t>
      </w:r>
    </w:p>
    <w:p>
      <w:pPr>
        <w:spacing w:before="0" w:after="120" w:line="480" w:lineRule="auto"/>
        <w:jc w:val="both"/>
      </w:pPr>
      <w:r>
        <w:rPr>
          <w:rFonts w:ascii="Times New Roman" w:hAnsi="Times New Roman"/>
          <w:b w:val="0"/>
          <w:i w:val="0"/>
          <w:sz w:val="24"/>
        </w:rPr>
        <w:t xml:space="preserve">The calculated minimum sample size was 138. This was increased by approximately 10% to account for potential sample losses, failed cultures, and non-response, yielding a final target sample size of </w:t>
      </w:r>
      <w:r>
        <w:rPr>
          <w:rFonts w:ascii="Times New Roman" w:hAnsi="Times New Roman"/>
          <w:b/>
          <w:i w:val="0"/>
          <w:sz w:val="24"/>
        </w:rPr>
        <w:t>152 samples</w:t>
      </w:r>
      <w:r>
        <w:rPr>
          <w:rFonts w:ascii="Times New Roman" w:hAnsi="Times New Roman"/>
          <w:b w:val="0"/>
          <w:i w:val="0"/>
          <w:sz w:val="24"/>
        </w:rPr>
        <w:t>. This target was met in full during the field sampling phase.</w:t>
      </w:r>
    </w:p>
    <w:p>
      <w:pPr>
        <w:pStyle w:val="Heading3"/>
        <w:spacing w:before="120" w:after="60" w:line="480" w:lineRule="auto"/>
        <w:jc w:val="left"/>
      </w:pPr>
      <w:r>
        <w:rPr>
          <w:rFonts w:ascii="Times New Roman" w:hAnsi="Times New Roman"/>
          <w:b/>
          <w:i w:val="0"/>
          <w:color w:val="000000"/>
          <w:sz w:val="24"/>
        </w:rPr>
        <w:t>3.4 Sampling Frame and Distribution</w:t>
      </w:r>
    </w:p>
    <w:p>
      <w:pPr>
        <w:spacing w:before="0" w:after="120" w:line="480" w:lineRule="auto"/>
        <w:jc w:val="both"/>
      </w:pPr>
      <w:r>
        <w:rPr>
          <w:rFonts w:ascii="Times New Roman" w:hAnsi="Times New Roman"/>
          <w:b w:val="0"/>
          <w:i w:val="0"/>
          <w:sz w:val="24"/>
        </w:rPr>
        <w:t>The eight vendor locations included in the study were identified through preliminary reconnaissance surveys of poultry manure markets across Zaria and Sabon Gari LGAs. Samples were allocated across locations proportionally to the relative number of active vendors identified at each location during reconnaissance, with a minimum of eleven samples collected per location to ensure adequate representation. The sampling frame and sample distribution are presented in Table 3.1.</w:t>
      </w:r>
    </w:p>
    <w:p>
      <w:pPr>
        <w:spacing w:before="0" w:after="120" w:line="480" w:lineRule="auto"/>
        <w:jc w:val="both"/>
      </w:pPr>
      <w:r>
        <w:rPr>
          <w:rFonts w:ascii="Times New Roman" w:hAnsi="Times New Roman"/>
          <w:b/>
          <w:i w:val="0"/>
          <w:sz w:val="24"/>
        </w:rPr>
        <w:t>Table 3.1: Sampling frame for poultry manure collection from vendor locations in Zaria Metropolis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Vendor Location</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LGA</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Estimated No. of Vendors</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Proportion (%)</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No. of Samples Collected</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Dan Magaji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Zaria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23.08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35</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Dakaci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Zaria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15.38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23</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Jushin Ciki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Zaria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7.69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11</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Dembo</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Sabon Gari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23.08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35</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Zabi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Sabon Gari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7.69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12</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Dogarawa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Sabon Gari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7.69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12</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Samaru</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Sabon Gari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7.69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12</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Basawa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Sabon Gari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7.69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12</w:t>
            </w:r>
          </w:p>
        </w:tc>
      </w:tr>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Total</w:t>
            </w:r>
          </w:p>
        </w:tc>
        <w:tc>
          <w:tcPr>
            <w:tcW w:type="dxa" w:w="1728"/>
          </w:tcPr>
          <w:p>
            <w:pPr>
              <w:spacing w:before="40" w:after="40" w:line="240" w:lineRule="auto"/>
              <w:jc w:val="both"/>
            </w:pPr>
            <w:r>
              <w:rPr>
                <w:rFonts w:ascii="Times New Roman" w:hAnsi="Times New Roman"/>
                <w:sz w:val="22"/>
              </w:rPr>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13</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100</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152</w:t>
            </w:r>
          </w:p>
        </w:tc>
      </w:tr>
    </w:tbl>
    <w:p>
      <w:pPr>
        <w:spacing w:after="120"/>
      </w:pPr>
    </w:p>
    <w:p>
      <w:pPr>
        <w:pStyle w:val="Heading3"/>
        <w:spacing w:before="120" w:after="60" w:line="480" w:lineRule="auto"/>
        <w:jc w:val="left"/>
      </w:pPr>
      <w:r>
        <w:rPr>
          <w:rFonts w:ascii="Times New Roman" w:hAnsi="Times New Roman"/>
          <w:b/>
          <w:i w:val="0"/>
          <w:color w:val="000000"/>
          <w:sz w:val="24"/>
        </w:rPr>
        <w:t>3.5 Sampling Technique and Criteria</w:t>
      </w:r>
    </w:p>
    <w:p>
      <w:pPr>
        <w:spacing w:before="120" w:after="60" w:line="480" w:lineRule="auto"/>
        <w:jc w:val="left"/>
      </w:pPr>
      <w:r>
        <w:rPr>
          <w:rFonts w:ascii="Times New Roman" w:hAnsi="Times New Roman"/>
          <w:b/>
          <w:i/>
          <w:sz w:val="24"/>
        </w:rPr>
        <w:t>3.5.1 Sampling Technique</w:t>
      </w:r>
    </w:p>
    <w:p>
      <w:pPr>
        <w:spacing w:before="0" w:after="120" w:line="480" w:lineRule="auto"/>
        <w:jc w:val="both"/>
      </w:pPr>
      <w:r>
        <w:rPr>
          <w:rFonts w:ascii="Times New Roman" w:hAnsi="Times New Roman"/>
          <w:b w:val="0"/>
          <w:i w:val="0"/>
          <w:sz w:val="24"/>
        </w:rPr>
        <w:t>A convenience sampling technique was employed for vendor selection. Vendors who were accessible, willing to participate, and whose stock met the inclusion criteria were recruited at each designated location. Within each vendor's litter supply, a pooled composite sample was obtained by collecting sub-samples from multiple points, top, middle, and base of the heap, using a sterile spoon, which were then pooled into a single representative sample per vendor.</w:t>
      </w:r>
    </w:p>
    <w:p>
      <w:pPr>
        <w:spacing w:before="120" w:after="60" w:line="480" w:lineRule="auto"/>
        <w:jc w:val="left"/>
      </w:pPr>
      <w:r>
        <w:rPr>
          <w:rFonts w:ascii="Times New Roman" w:hAnsi="Times New Roman"/>
          <w:b/>
          <w:i/>
          <w:sz w:val="24"/>
        </w:rPr>
        <w:t>3.5.2 Inclusion Criteria</w:t>
      </w:r>
    </w:p>
    <w:p>
      <w:pPr>
        <w:spacing w:before="0" w:after="120" w:line="480" w:lineRule="auto"/>
        <w:jc w:val="both"/>
      </w:pPr>
      <w:r>
        <w:rPr>
          <w:rFonts w:ascii="Times New Roman" w:hAnsi="Times New Roman"/>
          <w:b w:val="0"/>
          <w:i w:val="0"/>
          <w:sz w:val="24"/>
        </w:rPr>
        <w:t>The following criteria were applied for the inclusion of samples:</w:t>
      </w:r>
    </w:p>
    <w:p>
      <w:pPr>
        <w:pStyle w:val="ListNumber"/>
        <w:spacing w:before="40" w:after="40" w:line="240" w:lineRule="auto"/>
        <w:jc w:val="both"/>
      </w:pPr>
      <w:r>
        <w:rPr>
          <w:rFonts w:ascii="Times New Roman" w:hAnsi="Times New Roman"/>
          <w:b w:val="0"/>
          <w:i w:val="0"/>
          <w:sz w:val="24"/>
        </w:rPr>
        <w:t>The vendor's location was within the designated study area (Zaria or Sabon Gari Local Government Area).</w:t>
      </w:r>
    </w:p>
    <w:p>
      <w:pPr>
        <w:pStyle w:val="ListNumber"/>
        <w:spacing w:before="40" w:after="40" w:line="240" w:lineRule="auto"/>
        <w:jc w:val="both"/>
      </w:pPr>
      <w:r>
        <w:rPr>
          <w:rFonts w:ascii="Times New Roman" w:hAnsi="Times New Roman"/>
          <w:b w:val="0"/>
          <w:i w:val="0"/>
          <w:sz w:val="24"/>
        </w:rPr>
        <w:t>The litter was clearly of poultry (chicken/broiler/layer) origin, as confirmed by the vendor.</w:t>
      </w:r>
    </w:p>
    <w:p>
      <w:pPr>
        <w:pStyle w:val="ListNumber"/>
        <w:spacing w:before="40" w:after="40" w:line="240" w:lineRule="auto"/>
        <w:jc w:val="both"/>
      </w:pPr>
      <w:r>
        <w:rPr>
          <w:rFonts w:ascii="Times New Roman" w:hAnsi="Times New Roman"/>
          <w:b w:val="0"/>
          <w:i w:val="0"/>
          <w:sz w:val="24"/>
        </w:rPr>
        <w:t>The litter was fresh, not sun-dried, composted, or treated with any chemical or biological agent prior to collection.</w:t>
      </w:r>
    </w:p>
    <w:p>
      <w:pPr>
        <w:pStyle w:val="ListNumber"/>
        <w:spacing w:before="40" w:after="40" w:line="240" w:lineRule="auto"/>
        <w:jc w:val="both"/>
      </w:pPr>
      <w:r>
        <w:rPr>
          <w:rFonts w:ascii="Times New Roman" w:hAnsi="Times New Roman"/>
          <w:b w:val="0"/>
          <w:i w:val="0"/>
          <w:sz w:val="24"/>
        </w:rPr>
        <w:t>The vendor's stock was intended for sale as organic fertilizer or soil amendment.</w:t>
      </w:r>
    </w:p>
    <w:p>
      <w:pPr>
        <w:spacing w:before="120" w:after="60" w:line="480" w:lineRule="auto"/>
        <w:jc w:val="left"/>
      </w:pPr>
      <w:r>
        <w:rPr>
          <w:rFonts w:ascii="Times New Roman" w:hAnsi="Times New Roman"/>
          <w:b/>
          <w:i/>
          <w:sz w:val="24"/>
        </w:rPr>
        <w:t>3.5.3 Exclusion Criteria</w:t>
      </w:r>
    </w:p>
    <w:p>
      <w:pPr>
        <w:spacing w:before="0" w:after="120" w:line="480" w:lineRule="auto"/>
        <w:jc w:val="both"/>
      </w:pPr>
      <w:r>
        <w:rPr>
          <w:rFonts w:ascii="Times New Roman" w:hAnsi="Times New Roman"/>
          <w:b w:val="0"/>
          <w:i w:val="0"/>
          <w:sz w:val="24"/>
        </w:rPr>
        <w:t>The following criteria were applied for exclusion:</w:t>
      </w:r>
    </w:p>
    <w:p>
      <w:pPr>
        <w:pStyle w:val="ListNumber"/>
        <w:spacing w:before="40" w:after="40" w:line="240" w:lineRule="auto"/>
        <w:jc w:val="both"/>
      </w:pPr>
      <w:r>
        <w:rPr>
          <w:rFonts w:ascii="Times New Roman" w:hAnsi="Times New Roman"/>
          <w:b w:val="0"/>
          <w:i w:val="0"/>
          <w:sz w:val="24"/>
        </w:rPr>
        <w:t>Litter that was visibly mixed with manure from non-poultry species (cattle, goats, sheep, swine).</w:t>
      </w:r>
    </w:p>
    <w:p>
      <w:pPr>
        <w:pStyle w:val="ListNumber"/>
        <w:spacing w:before="40" w:after="40" w:line="240" w:lineRule="auto"/>
        <w:jc w:val="both"/>
      </w:pPr>
      <w:r>
        <w:rPr>
          <w:rFonts w:ascii="Times New Roman" w:hAnsi="Times New Roman"/>
          <w:b w:val="0"/>
          <w:i w:val="0"/>
          <w:sz w:val="24"/>
        </w:rPr>
        <w:t>Litter that could not be confirmed as of poultry origin.</w:t>
      </w:r>
    </w:p>
    <w:p>
      <w:pPr>
        <w:pStyle w:val="ListNumber"/>
        <w:spacing w:before="40" w:after="40" w:line="240" w:lineRule="auto"/>
        <w:jc w:val="both"/>
      </w:pPr>
      <w:r>
        <w:rPr>
          <w:rFonts w:ascii="Times New Roman" w:hAnsi="Times New Roman"/>
          <w:b w:val="0"/>
          <w:i w:val="0"/>
          <w:sz w:val="24"/>
        </w:rPr>
        <w:t>Samples from vendors who declined participation in the study.</w:t>
      </w:r>
    </w:p>
    <w:p>
      <w:pPr>
        <w:pStyle w:val="Heading3"/>
        <w:spacing w:before="120" w:after="60" w:line="480" w:lineRule="auto"/>
        <w:jc w:val="left"/>
      </w:pPr>
      <w:r>
        <w:rPr>
          <w:rFonts w:ascii="Times New Roman" w:hAnsi="Times New Roman"/>
          <w:b/>
          <w:i w:val="0"/>
          <w:color w:val="000000"/>
          <w:sz w:val="24"/>
        </w:rPr>
        <w:t>3.6 Sample Collection, Transportation, and Storage</w:t>
      </w:r>
    </w:p>
    <w:p>
      <w:pPr>
        <w:spacing w:before="0" w:after="120" w:line="480" w:lineRule="auto"/>
        <w:jc w:val="both"/>
      </w:pPr>
      <w:r>
        <w:rPr>
          <w:rFonts w:ascii="Times New Roman" w:hAnsi="Times New Roman"/>
          <w:b w:val="0"/>
          <w:i w:val="0"/>
          <w:sz w:val="24"/>
        </w:rPr>
        <w:t>A total of 152 poultry manure samples were aseptically collected from designated vendor locations across Zaria Metropolis. Using a sterile spoon, approximately 5 g of poultry litter was obtained from multiple points within each vendor's supply pile and pooled into a single composite sample in a sterile, labelled polythene bag. Each bag was assigned a unique alphanumeric sample identification code corresponding to the vendor location code and sequential sample number. Labelled bags were individually sealed, placed in sterile containers, and transported to the Bacterial Zoonoses Laboratory, Department of Veterinary Public Health and Preventive Medicine, Ahmadu Bello University, Zaria, within four hours of collection on ice packs maintained at approximately 4°C to minimize changes in microbial populations during transit. Upon arrival at the laboratory, samples were processed immediately or stored temporarily at 4°C for no longer than 24 hours prior to microbiological analysis.</w:t>
      </w:r>
    </w:p>
    <w:p>
      <w:pPr>
        <w:pStyle w:val="Heading3"/>
        <w:spacing w:before="120" w:after="60" w:line="480" w:lineRule="auto"/>
        <w:jc w:val="left"/>
      </w:pPr>
      <w:r>
        <w:rPr>
          <w:rFonts w:ascii="Times New Roman" w:hAnsi="Times New Roman"/>
          <w:b/>
          <w:i w:val="0"/>
          <w:color w:val="000000"/>
          <w:sz w:val="24"/>
        </w:rPr>
        <w:t>3.7 Laboratory Procedures</w:t>
      </w:r>
    </w:p>
    <w:p>
      <w:pPr>
        <w:spacing w:before="120" w:after="60" w:line="480" w:lineRule="auto"/>
        <w:jc w:val="left"/>
      </w:pPr>
      <w:r>
        <w:rPr>
          <w:rFonts w:ascii="Times New Roman" w:hAnsi="Times New Roman"/>
          <w:b/>
          <w:i/>
          <w:sz w:val="24"/>
        </w:rPr>
        <w:t>3.7.1 Isolation of *Escherichia coli*</w:t>
      </w:r>
    </w:p>
    <w:p>
      <w:pPr>
        <w:spacing w:before="0" w:after="120" w:line="480" w:lineRule="auto"/>
        <w:jc w:val="both"/>
      </w:pPr>
      <w:r>
        <w:rPr>
          <w:rFonts w:ascii="Times New Roman" w:hAnsi="Times New Roman"/>
          <w:b w:val="0"/>
          <w:i w:val="0"/>
          <w:sz w:val="24"/>
        </w:rPr>
        <w:t>Pre-enrichment was performed by adding 1 g of each poultry litter sample to 9 mL of Buffered Peptone Water (BPW; Oxoid, UK) in a sterile screw-cap test tube. The mixture was homogenized by vortexing for 30 seconds and incubated at 37°C for 18–24 hours. Following pre-enrichment, 1 mL of the pre-enriched suspension was transferred to 9 mL of Tryptone Soy Broth (TSB; Oxoid, UK) for secondary enrichment and incubated at 37°C for 18–24 hours.</w:t>
      </w:r>
    </w:p>
    <w:p>
      <w:pPr>
        <w:spacing w:before="0" w:after="120" w:line="480" w:lineRule="auto"/>
        <w:jc w:val="both"/>
      </w:pPr>
      <w:r>
        <w:rPr>
          <w:rFonts w:ascii="Times New Roman" w:hAnsi="Times New Roman"/>
          <w:b w:val="0"/>
          <w:i w:val="0"/>
          <w:sz w:val="24"/>
        </w:rPr>
        <w:t xml:space="preserve">Selective isolation of </w:t>
      </w:r>
      <w:r>
        <w:rPr>
          <w:rFonts w:ascii="Times New Roman" w:hAnsi="Times New Roman"/>
          <w:b w:val="0"/>
          <w:i/>
          <w:sz w:val="24"/>
        </w:rPr>
        <w:t>E. coli</w:t>
      </w:r>
      <w:r>
        <w:rPr>
          <w:rFonts w:ascii="Times New Roman" w:hAnsi="Times New Roman"/>
          <w:b w:val="0"/>
          <w:i w:val="0"/>
          <w:sz w:val="24"/>
        </w:rPr>
        <w:t xml:space="preserve"> was performed by streaking a loopful of the secondary enrichment broth onto Eosin Methylene Blue (EMB) agar (Oxoid, Thermo Fisher Scientific) plates using the standard four-quadrant streak method with a sterile inoculating loop. Inoculated EMB plates were incubated aerobically at 37°C for 18–24 hours. Plates were examined for colonies exhibiting the characteristic raised, moist morphology with a metallic green sheen, which is indicative of presumptive </w:t>
      </w:r>
      <w:r>
        <w:rPr>
          <w:rFonts w:ascii="Times New Roman" w:hAnsi="Times New Roman"/>
          <w:b w:val="0"/>
          <w:i/>
          <w:sz w:val="24"/>
        </w:rPr>
        <w:t>E. coli</w:t>
      </w:r>
      <w:r>
        <w:rPr>
          <w:rFonts w:ascii="Times New Roman" w:hAnsi="Times New Roman"/>
          <w:b w:val="0"/>
          <w:i w:val="0"/>
          <w:sz w:val="24"/>
        </w:rPr>
        <w:t xml:space="preserve"> (Cheesbrough, 2006; Plate 4.1). Up to three presumptive colonies per plate were sub-cultured onto Tryptone Soy Agar (TSA; Oxoid, UK) plates and incubated at 37°C for 24 hours to obtain pure cultures for subsequent biochemical and molecular identification.</w:t>
      </w:r>
    </w:p>
    <w:p>
      <w:pPr>
        <w:spacing w:before="120" w:after="60" w:line="480" w:lineRule="auto"/>
        <w:jc w:val="left"/>
      </w:pPr>
      <w:r>
        <w:rPr>
          <w:rFonts w:ascii="Times New Roman" w:hAnsi="Times New Roman"/>
          <w:b/>
          <w:i/>
          <w:sz w:val="24"/>
        </w:rPr>
        <w:t>3.7.2 Biochemical Identification of *E. coli*</w:t>
      </w:r>
    </w:p>
    <w:p>
      <w:pPr>
        <w:spacing w:before="0" w:after="120" w:line="480" w:lineRule="auto"/>
        <w:jc w:val="both"/>
      </w:pPr>
      <w:r>
        <w:rPr>
          <w:rFonts w:ascii="Times New Roman" w:hAnsi="Times New Roman"/>
          <w:b w:val="0"/>
          <w:i w:val="0"/>
          <w:sz w:val="24"/>
        </w:rPr>
        <w:t xml:space="preserve">All presumptive </w:t>
      </w:r>
      <w:r>
        <w:rPr>
          <w:rFonts w:ascii="Times New Roman" w:hAnsi="Times New Roman"/>
          <w:b w:val="0"/>
          <w:i/>
          <w:sz w:val="24"/>
        </w:rPr>
        <w:t>E. coli</w:t>
      </w:r>
      <w:r>
        <w:rPr>
          <w:rFonts w:ascii="Times New Roman" w:hAnsi="Times New Roman"/>
          <w:b w:val="0"/>
          <w:i w:val="0"/>
          <w:sz w:val="24"/>
        </w:rPr>
        <w:t xml:space="preserve"> colonies obtained from EMB agar were subjected to Gram staining and a panel of standard biochemical tests to confirm their identity. Gram staining was performed according to the standard protocol, and colonies yielding Gram-negative rods were subjected to the following confirmatory tests: Triple Sugar Iron (TSI) agar; Simmons Citrate agar; Urease agar (Christensen's); Sulfate-Indole-Motility (SIM) medium; and Methyl Red–Voges Proskauer (MR-VP) broth. All media were inoculated from pure TSA cultures using standard inoculation techniques and incubated at 37°C for 18–24 hours. Results were interpreted according to the standard biochemical reaction profiles described by Cheesbrough (2006).</w:t>
      </w:r>
    </w:p>
    <w:p>
      <w:pPr>
        <w:spacing w:before="0" w:after="120" w:line="480" w:lineRule="auto"/>
        <w:jc w:val="both"/>
      </w:pPr>
      <w:r>
        <w:rPr>
          <w:rFonts w:ascii="Times New Roman" w:hAnsi="Times New Roman"/>
          <w:b w:val="0"/>
          <w:i w:val="0"/>
          <w:sz w:val="24"/>
        </w:rPr>
        <w:t xml:space="preserve">Isolates were identified as </w:t>
      </w:r>
      <w:r>
        <w:rPr>
          <w:rFonts w:ascii="Times New Roman" w:hAnsi="Times New Roman"/>
          <w:b w:val="0"/>
          <w:i/>
          <w:sz w:val="24"/>
        </w:rPr>
        <w:t>E. coli</w:t>
      </w:r>
      <w:r>
        <w:rPr>
          <w:rFonts w:ascii="Times New Roman" w:hAnsi="Times New Roman"/>
          <w:b w:val="0"/>
          <w:i w:val="0"/>
          <w:sz w:val="24"/>
        </w:rPr>
        <w:t xml:space="preserve"> based on the following characteristic biochemical profile: TSI, acid/acid with gas production and no hydrogen sulphide; Simmons Citrate, no growth (citrate negative); Urease, no colour change (urease negative); SIM, indole positive, motile, H₂S negative; MR, positive (methyl red positive); VP, negative (Voges-Proskauer negative). Colonies yielding this profile were tentatively identified as </w:t>
      </w:r>
      <w:r>
        <w:rPr>
          <w:rFonts w:ascii="Times New Roman" w:hAnsi="Times New Roman"/>
          <w:b w:val="0"/>
          <w:i/>
          <w:sz w:val="24"/>
        </w:rPr>
        <w:t>E. coli</w:t>
      </w:r>
      <w:r>
        <w:rPr>
          <w:rFonts w:ascii="Times New Roman" w:hAnsi="Times New Roman"/>
          <w:b w:val="0"/>
          <w:i w:val="0"/>
          <w:sz w:val="24"/>
        </w:rPr>
        <w:t xml:space="preserve"> and stored on nutrient agar slants at 4°C pending molecular confirmation.</w:t>
      </w:r>
    </w:p>
    <w:p>
      <w:pPr>
        <w:spacing w:before="120" w:after="60" w:line="480" w:lineRule="auto"/>
        <w:jc w:val="left"/>
      </w:pPr>
      <w:r>
        <w:rPr>
          <w:rFonts w:ascii="Times New Roman" w:hAnsi="Times New Roman"/>
          <w:b/>
          <w:i/>
          <w:sz w:val="24"/>
        </w:rPr>
        <w:t>3.7.3 DNA Extraction</w:t>
      </w:r>
    </w:p>
    <w:p>
      <w:pPr>
        <w:spacing w:before="0" w:after="120" w:line="480" w:lineRule="auto"/>
        <w:jc w:val="both"/>
      </w:pPr>
      <w:r>
        <w:rPr>
          <w:rFonts w:ascii="Times New Roman" w:hAnsi="Times New Roman"/>
          <w:b w:val="0"/>
          <w:i w:val="0"/>
          <w:sz w:val="24"/>
        </w:rPr>
        <w:t xml:space="preserve">Genomic DNA was extracted from all biochemically confirmed presumptive </w:t>
      </w:r>
      <w:r>
        <w:rPr>
          <w:rFonts w:ascii="Times New Roman" w:hAnsi="Times New Roman"/>
          <w:b w:val="0"/>
          <w:i/>
          <w:sz w:val="24"/>
        </w:rPr>
        <w:t>E. coli</w:t>
      </w:r>
      <w:r>
        <w:rPr>
          <w:rFonts w:ascii="Times New Roman" w:hAnsi="Times New Roman"/>
          <w:b w:val="0"/>
          <w:i w:val="0"/>
          <w:sz w:val="24"/>
        </w:rPr>
        <w:t xml:space="preserve"> isolates using the QIAamp DNA Mini Kit (Qiagen, Hilden, Germany) according to the manufacturer's instructions. Prior to extraction, all reagents and samples were equilibrated to room temperature. A 200 µL aliquot of a bacterial suspension prepared from a 24-hour pure culture in nuclease-free water (turbidity standardized to approximately 0.5 McFarland standard) was added to equal volume of Buffer AVL and 50 µL of Proteinase K in a 1.5 mL nuclease-free microcentrifuge tube. The mixture was vortexed for 15 seconds and incubated at 55°C for 10 minutes to ensure complete lysis of bacterial cells. After brief centrifugation, 400 µL of absolute ethanol (96–100%) was added to the lysate, mixed thoroughly by vortexing for 15 seconds, and the entire mixture was carefully transferred to a QIAamp Mini spin column placed in a 2 mL collection tube.</w:t>
      </w:r>
    </w:p>
    <w:p>
      <w:pPr>
        <w:spacing w:before="0" w:after="120" w:line="480" w:lineRule="auto"/>
        <w:jc w:val="both"/>
      </w:pPr>
      <w:r>
        <w:rPr>
          <w:rFonts w:ascii="Times New Roman" w:hAnsi="Times New Roman"/>
          <w:b w:val="0"/>
          <w:i w:val="0"/>
          <w:sz w:val="24"/>
        </w:rPr>
        <w:t>The spin column assembly was centrifuged at 5,008 × g for 1 minute. The flow-through was discarded. Sequential washing steps were performed: first with 500 µL of Buffer AW1 (centrifugation at 5,008 × g for 1 minute), then with 500 µL of Buffer AW2 (centrifugation at 15,338 × g for 3 minutes). The spin column was transferred to a sterile 1.5 mL nuclease-free microcentrifuge tube, and 30 µL of pre-warmed Buffer AE (elution buffer) was applied directly to the silica membrane. After incubation at room temperature for 5 minutes to allow complete saturation of the membrane, the assembly was centrifuged at 13,225 × g for 1 minute to elute the purified DNA. Extracted DNA was stored at −20°C until required for PCR amplification. DNA concentration and purity (A₂₆₀/A₂₈₀ ratio) were assessed by NanoDrop spectrophotometry (Thermo Fisher Scientific, USA) to confirm acceptable extraction quality prior to PCR.</w:t>
      </w:r>
    </w:p>
    <w:p>
      <w:pPr>
        <w:spacing w:before="120" w:after="60" w:line="480" w:lineRule="auto"/>
        <w:jc w:val="left"/>
      </w:pPr>
      <w:r>
        <w:rPr>
          <w:rFonts w:ascii="Times New Roman" w:hAnsi="Times New Roman"/>
          <w:b/>
          <w:i/>
          <w:sz w:val="24"/>
        </w:rPr>
        <w:t>3.7.4 PCR Confirmation of *Escherichia coli* (16S rRNA Gene)</w:t>
      </w:r>
    </w:p>
    <w:p>
      <w:pPr>
        <w:spacing w:before="0" w:after="120" w:line="480" w:lineRule="auto"/>
        <w:jc w:val="both"/>
      </w:pPr>
      <w:r>
        <w:rPr>
          <w:rFonts w:ascii="Times New Roman" w:hAnsi="Times New Roman"/>
          <w:b w:val="0"/>
          <w:i w:val="0"/>
          <w:sz w:val="24"/>
        </w:rPr>
        <w:t xml:space="preserve">All biochemically confirmed presumptive </w:t>
      </w:r>
      <w:r>
        <w:rPr>
          <w:rFonts w:ascii="Times New Roman" w:hAnsi="Times New Roman"/>
          <w:b w:val="0"/>
          <w:i/>
          <w:sz w:val="24"/>
        </w:rPr>
        <w:t>E. coli</w:t>
      </w:r>
      <w:r>
        <w:rPr>
          <w:rFonts w:ascii="Times New Roman" w:hAnsi="Times New Roman"/>
          <w:b w:val="0"/>
          <w:i w:val="0"/>
          <w:sz w:val="24"/>
        </w:rPr>
        <w:t xml:space="preserve"> isolates were subjected to PCR amplification of the </w:t>
      </w:r>
      <w:r>
        <w:rPr>
          <w:rFonts w:ascii="Times New Roman" w:hAnsi="Times New Roman"/>
          <w:b w:val="0"/>
          <w:i/>
          <w:sz w:val="24"/>
        </w:rPr>
        <w:t>E. coli</w:t>
      </w:r>
      <w:r>
        <w:rPr>
          <w:rFonts w:ascii="Times New Roman" w:hAnsi="Times New Roman"/>
          <w:b w:val="0"/>
          <w:i w:val="0"/>
          <w:sz w:val="24"/>
        </w:rPr>
        <w:t>-specific 16S ribosomal RNA (rRNA) gene as a molecular confirmation step. Primers described by Lane (1991) were used for amplification of an approximately 1,500 bp fragment of the 16S rRNA gene (Table 3.2). Each PCR reaction mixture (total volume 25 µL) comprised 12.5 µL of Top Taq PCR master mix (2×; Qiagen), 1 µL of each forward and reverse primer (10 mM stock concentration), 5.5 µL of nuclease-free water, and 5 µL of extracted DNA template. A negative control (nuclease-free water replacing DNA template) and a positive control (</w:t>
      </w:r>
      <w:r>
        <w:rPr>
          <w:rFonts w:ascii="Times New Roman" w:hAnsi="Times New Roman"/>
          <w:b w:val="0"/>
          <w:i/>
          <w:sz w:val="24"/>
        </w:rPr>
        <w:t>E. coli</w:t>
      </w:r>
      <w:r>
        <w:rPr>
          <w:rFonts w:ascii="Times New Roman" w:hAnsi="Times New Roman"/>
          <w:b w:val="0"/>
          <w:i w:val="0"/>
          <w:sz w:val="24"/>
        </w:rPr>
        <w:t xml:space="preserve"> ATCC 25922 reference strain DNA) were included in each PCR run.</w:t>
      </w:r>
    </w:p>
    <w:p>
      <w:pPr>
        <w:spacing w:before="0" w:after="120" w:line="480" w:lineRule="auto"/>
        <w:jc w:val="both"/>
      </w:pPr>
      <w:r>
        <w:rPr>
          <w:rFonts w:ascii="Times New Roman" w:hAnsi="Times New Roman"/>
          <w:b w:val="0"/>
          <w:i w:val="0"/>
          <w:sz w:val="24"/>
        </w:rPr>
        <w:t xml:space="preserve">Amplification was performed in a Bio-Rad MyCycler® thermal cycler programmed as follows: initial denaturation at 94°C for 3 minutes; 40 cycles of denaturation at 94°C for 1 minute, primer annealing at 55°C for 30 seconds, and extension at 72°C for 1 minute 30 seconds; final extension at 72°C for 10 minutes. PCR products were visualized by agarose gel electrophoresis as described in Section 3.7.9. Isolates yielding a band at the expected size of approximately 1,500 bp were confirmed as </w:t>
      </w:r>
      <w:r>
        <w:rPr>
          <w:rFonts w:ascii="Times New Roman" w:hAnsi="Times New Roman"/>
          <w:b w:val="0"/>
          <w:i/>
          <w:sz w:val="24"/>
        </w:rPr>
        <w:t>E. coli</w:t>
      </w:r>
      <w:r>
        <w:rPr>
          <w:rFonts w:ascii="Times New Roman" w:hAnsi="Times New Roman"/>
          <w:b w:val="0"/>
          <w:i w:val="0"/>
          <w:sz w:val="24"/>
        </w:rPr>
        <w:t xml:space="preserve"> and included in subsequent antimicrobial susceptibility testing and integron PCR.</w:t>
      </w:r>
    </w:p>
    <w:p>
      <w:pPr>
        <w:spacing w:before="120" w:after="60" w:line="480" w:lineRule="auto"/>
        <w:jc w:val="left"/>
      </w:pPr>
      <w:r>
        <w:rPr>
          <w:rFonts w:ascii="Times New Roman" w:hAnsi="Times New Roman"/>
          <w:b/>
          <w:i/>
          <w:sz w:val="24"/>
        </w:rPr>
        <w:t>3.7.5 Antibiotic Susceptibility Testing</w:t>
      </w:r>
    </w:p>
    <w:p>
      <w:pPr>
        <w:spacing w:before="0" w:after="120" w:line="480" w:lineRule="auto"/>
        <w:jc w:val="both"/>
      </w:pPr>
      <w:r>
        <w:rPr>
          <w:rFonts w:ascii="Times New Roman" w:hAnsi="Times New Roman"/>
          <w:b w:val="0"/>
          <w:i w:val="0"/>
          <w:sz w:val="24"/>
        </w:rPr>
        <w:t xml:space="preserve">Antimicrobial susceptibility profiles of all PCR-confirmed </w:t>
      </w:r>
      <w:r>
        <w:rPr>
          <w:rFonts w:ascii="Times New Roman" w:hAnsi="Times New Roman"/>
          <w:b w:val="0"/>
          <w:i/>
          <w:sz w:val="24"/>
        </w:rPr>
        <w:t>E. coli</w:t>
      </w:r>
      <w:r>
        <w:rPr>
          <w:rFonts w:ascii="Times New Roman" w:hAnsi="Times New Roman"/>
          <w:b w:val="0"/>
          <w:i w:val="0"/>
          <w:sz w:val="24"/>
        </w:rPr>
        <w:t xml:space="preserve"> isolates (</w:t>
      </w:r>
      <w:r>
        <w:rPr>
          <w:rFonts w:ascii="Times New Roman" w:hAnsi="Times New Roman"/>
          <w:b w:val="0"/>
          <w:i/>
          <w:sz w:val="24"/>
        </w:rPr>
        <w:t>n</w:t>
      </w:r>
      <w:r>
        <w:rPr>
          <w:rFonts w:ascii="Times New Roman" w:hAnsi="Times New Roman"/>
          <w:b w:val="0"/>
          <w:i w:val="0"/>
          <w:sz w:val="24"/>
        </w:rPr>
        <w:t xml:space="preserve"> = 37) were determined by the Kirby-Bauer disk diffusion method in accordance with guidelines and interpretive criteria of the Clinical and Laboratory Standards Institute (CLSI, 2024). Four to five morphologically distinct colonies from a pure 24-hour TSA culture of each isolate were transferred with a sterile inoculating loop into 5 mL of sterile normal saline (0.85% NaCl). The bacterial suspension was gently mixed and turbidity was adjusted to match a 0.5 McFarland standard, corresponding to approximately 1–2 × 10⁸ colony-forming units per millilitre.</w:t>
      </w:r>
    </w:p>
    <w:p>
      <w:pPr>
        <w:spacing w:before="0" w:after="120" w:line="480" w:lineRule="auto"/>
        <w:jc w:val="both"/>
      </w:pPr>
      <w:r>
        <w:rPr>
          <w:rFonts w:ascii="Times New Roman" w:hAnsi="Times New Roman"/>
          <w:b w:val="0"/>
          <w:i w:val="0"/>
          <w:sz w:val="24"/>
        </w:rPr>
        <w:t>Within 15 minutes of preparing the suspension, a sterile cotton swab was immersed, withdrawn with excess fluid removed against the tube wall, and used to inoculate Mueller-Hinton agar (MHA; Oxoid, UK) plates by evenly swabbing the entire agar surface in three directions, rotating the plate 60° between each pass, and swabbing the inner rim of the plate. Antibiotic disks were applied to the inoculated MHA surface using a multiple-disk dispenser (Oxoid, UK), ensuring that disks were at least 24 mm apart (centre-to-centre) and at least 10 mm from the plate edge. Plates were inverted and incubated aerobically at 37°C for 18–24 hours.</w:t>
      </w:r>
    </w:p>
    <w:p>
      <w:pPr>
        <w:spacing w:before="0" w:after="120" w:line="480" w:lineRule="auto"/>
        <w:jc w:val="both"/>
      </w:pPr>
      <w:r>
        <w:rPr>
          <w:rFonts w:ascii="Times New Roman" w:hAnsi="Times New Roman"/>
          <w:b w:val="0"/>
          <w:i w:val="0"/>
          <w:sz w:val="24"/>
        </w:rPr>
        <w:t xml:space="preserve">Following incubation, zones of inhibition around each antibiotic disk were measured to the nearest millimetre using a calibrated millimetre ruler on the reverse of the plate against a dark background. Zone diameters were classified as susceptible (S), intermediate (I), or resistant (R) according to the current CLSI (2024) breakpoints for each antibiotic–organism combination. A panel of ten antibiotic disks (HIMEDIA®, India), representing the principal antibiotic classes used in poultry production and of clinical relevance in human and veterinary medicine, was employed (Table 3.3). </w:t>
      </w:r>
      <w:r>
        <w:rPr>
          <w:rFonts w:ascii="Times New Roman" w:hAnsi="Times New Roman"/>
          <w:b w:val="0"/>
          <w:i/>
          <w:sz w:val="24"/>
        </w:rPr>
        <w:t>Escherichia coli</w:t>
      </w:r>
      <w:r>
        <w:rPr>
          <w:rFonts w:ascii="Times New Roman" w:hAnsi="Times New Roman"/>
          <w:b w:val="0"/>
          <w:i w:val="0"/>
          <w:sz w:val="24"/>
        </w:rPr>
        <w:t xml:space="preserve"> ATCC 25922 was used as the quality control strain for antimicrobial susceptibility testing.</w:t>
      </w:r>
    </w:p>
    <w:p>
      <w:pPr>
        <w:spacing w:before="0" w:after="120" w:line="480" w:lineRule="auto"/>
        <w:jc w:val="both"/>
      </w:pPr>
      <w:r>
        <w:rPr>
          <w:rFonts w:ascii="Times New Roman" w:hAnsi="Times New Roman"/>
          <w:b/>
          <w:i w:val="0"/>
          <w:sz w:val="24"/>
        </w:rPr>
        <w:t>Table 3.2: Primer sequences used in this study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Target</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Primer Name</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Sequence (5′→3′)</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Amplicon Size (bp)</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Reference</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sz w:val="22"/>
              </w:rPr>
              <w:t>E. coli</w:t>
            </w:r>
            <w:r>
              <w:rPr>
                <w:rFonts w:ascii="Times New Roman" w:hAnsi="Times New Roman"/>
                <w:b w:val="0"/>
                <w:i w:val="0"/>
                <w:sz w:val="22"/>
              </w:rPr>
              <w:t xml:space="preserve"> 16S rRNA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Forward</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AGA GTT TGA TCC TGG CTC AG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1,500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Lane (1991)</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sz w:val="22"/>
              </w:rPr>
              <w:t>E. coli</w:t>
            </w:r>
            <w:r>
              <w:rPr>
                <w:rFonts w:ascii="Times New Roman" w:hAnsi="Times New Roman"/>
                <w:b w:val="0"/>
                <w:i w:val="0"/>
                <w:sz w:val="22"/>
              </w:rPr>
              <w:t xml:space="preserve"> 16S rRNA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Reverse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GGT TAC CTT GTT ACG ACT T</w:t>
            </w:r>
          </w:p>
        </w:tc>
        <w:tc>
          <w:tcPr>
            <w:tcW w:type="dxa" w:w="1728"/>
          </w:tcPr>
          <w:p>
            <w:pPr>
              <w:spacing w:before="40" w:after="40" w:line="240" w:lineRule="auto"/>
              <w:jc w:val="both"/>
            </w:pPr>
            <w:r>
              <w:rPr>
                <w:rFonts w:ascii="Times New Roman" w:hAnsi="Times New Roman"/>
                <w:sz w:val="22"/>
              </w:rPr>
            </w:r>
          </w:p>
        </w:tc>
        <w:tc>
          <w:tcPr>
            <w:tcW w:type="dxa" w:w="1728"/>
          </w:tcPr>
          <w:p>
            <w:pPr>
              <w:spacing w:before="40" w:after="40" w:line="240" w:lineRule="auto"/>
              <w:jc w:val="both"/>
            </w:pPr>
            <w:r>
              <w:rPr>
                <w:rFonts w:ascii="Times New Roman" w:hAnsi="Times New Roman"/>
                <w:sz w:val="22"/>
              </w:rPr>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Class I integron (</w:t>
            </w:r>
            <w:r>
              <w:rPr>
                <w:rFonts w:ascii="Times New Roman" w:hAnsi="Times New Roman"/>
                <w:b w:val="0"/>
                <w:i/>
                <w:sz w:val="22"/>
              </w:rPr>
              <w:t>intI1</w:t>
            </w:r>
            <w:r>
              <w:rPr>
                <w:rFonts w:ascii="Times New Roman" w:hAnsi="Times New Roman"/>
                <w:b w:val="0"/>
                <w:i w:val="0"/>
                <w:sz w:val="22"/>
              </w:rPr>
              <w:t>)</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CSL1 (Forward)</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AAA ACC GCC ACT GCG CCG TTA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1,100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Fonseca et al. (2005)</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Class I integron (</w:t>
            </w:r>
            <w:r>
              <w:rPr>
                <w:rFonts w:ascii="Times New Roman" w:hAnsi="Times New Roman"/>
                <w:b w:val="0"/>
                <w:i/>
                <w:sz w:val="22"/>
              </w:rPr>
              <w:t>intI1</w:t>
            </w:r>
            <w:r>
              <w:rPr>
                <w:rFonts w:ascii="Times New Roman" w:hAnsi="Times New Roman"/>
                <w:b w:val="0"/>
                <w:i w:val="0"/>
                <w:sz w:val="22"/>
              </w:rPr>
              <w:t>)</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CSR1 (Reverse)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GAA GAC GGC TGC ACT GAA CG</w:t>
            </w:r>
          </w:p>
        </w:tc>
        <w:tc>
          <w:tcPr>
            <w:tcW w:type="dxa" w:w="1728"/>
          </w:tcPr>
          <w:p>
            <w:pPr>
              <w:spacing w:before="40" w:after="40" w:line="240" w:lineRule="auto"/>
              <w:jc w:val="both"/>
            </w:pPr>
            <w:r>
              <w:rPr>
                <w:rFonts w:ascii="Times New Roman" w:hAnsi="Times New Roman"/>
                <w:sz w:val="22"/>
              </w:rPr>
            </w:r>
          </w:p>
        </w:tc>
        <w:tc>
          <w:tcPr>
            <w:tcW w:type="dxa" w:w="1728"/>
          </w:tcPr>
          <w:p>
            <w:pPr>
              <w:spacing w:before="40" w:after="40" w:line="240" w:lineRule="auto"/>
              <w:jc w:val="both"/>
            </w:pPr>
            <w:r>
              <w:rPr>
                <w:rFonts w:ascii="Times New Roman" w:hAnsi="Times New Roman"/>
                <w:sz w:val="22"/>
              </w:rPr>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Class II integron (</w:t>
            </w:r>
            <w:r>
              <w:rPr>
                <w:rFonts w:ascii="Times New Roman" w:hAnsi="Times New Roman"/>
                <w:b w:val="0"/>
                <w:i/>
                <w:sz w:val="22"/>
              </w:rPr>
              <w:t>intI2</w:t>
            </w:r>
            <w:r>
              <w:rPr>
                <w:rFonts w:ascii="Times New Roman" w:hAnsi="Times New Roman"/>
                <w:b w:val="0"/>
                <w:i w:val="0"/>
                <w:sz w:val="22"/>
              </w:rPr>
              <w:t>)</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Forward</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TTA TTG CTG GGG ATT AGG C</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233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Goldstein et al. (2001)</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Class II integron (</w:t>
            </w:r>
            <w:r>
              <w:rPr>
                <w:rFonts w:ascii="Times New Roman" w:hAnsi="Times New Roman"/>
                <w:b w:val="0"/>
                <w:i/>
                <w:sz w:val="22"/>
              </w:rPr>
              <w:t>intI2</w:t>
            </w:r>
            <w:r>
              <w:rPr>
                <w:rFonts w:ascii="Times New Roman" w:hAnsi="Times New Roman"/>
                <w:b w:val="0"/>
                <w:i w:val="0"/>
                <w:sz w:val="22"/>
              </w:rPr>
              <w:t>)</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Reverse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ACG GCT ACC CTC TGT TAT C</w:t>
            </w:r>
          </w:p>
        </w:tc>
        <w:tc>
          <w:tcPr>
            <w:tcW w:type="dxa" w:w="1728"/>
          </w:tcPr>
          <w:p>
            <w:pPr>
              <w:spacing w:before="40" w:after="40" w:line="240" w:lineRule="auto"/>
              <w:jc w:val="both"/>
            </w:pPr>
            <w:r>
              <w:rPr>
                <w:rFonts w:ascii="Times New Roman" w:hAnsi="Times New Roman"/>
                <w:sz w:val="22"/>
              </w:rPr>
            </w:r>
          </w:p>
        </w:tc>
        <w:tc>
          <w:tcPr>
            <w:tcW w:type="dxa" w:w="1728"/>
          </w:tcPr>
          <w:p>
            <w:pPr>
              <w:spacing w:before="40" w:after="40" w:line="240" w:lineRule="auto"/>
              <w:jc w:val="both"/>
            </w:pPr>
            <w:r>
              <w:rPr>
                <w:rFonts w:ascii="Times New Roman" w:hAnsi="Times New Roman"/>
                <w:sz w:val="22"/>
              </w:rPr>
            </w:r>
          </w:p>
        </w:tc>
      </w:tr>
    </w:tbl>
    <w:p>
      <w:pPr>
        <w:spacing w:after="120"/>
      </w:pPr>
    </w:p>
    <w:p>
      <w:pPr>
        <w:spacing w:before="0" w:after="120" w:line="480" w:lineRule="auto"/>
        <w:jc w:val="both"/>
      </w:pPr>
      <w:r>
        <w:rPr>
          <w:rFonts w:ascii="Times New Roman" w:hAnsi="Times New Roman"/>
          <w:b/>
          <w:i w:val="0"/>
          <w:sz w:val="24"/>
        </w:rPr>
        <w:t>Table 3.3: Antibiotic disk panel used for antimicrobial susceptibility testing (CLSI, 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Antibiotic</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Abbreviation</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Disk Content</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Antibiotic Class</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WHO Category</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Meropenem</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MEM</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Carbapenem</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Ceftriaxone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CRO</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3rd-gen cephalosporin</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Ciprofloxacin</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CIP</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5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Fluoroquinolone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Azithromycin</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AZM</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15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Macrolide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Gentamicin</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CN</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Aminoglycoside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Trimethoprim-Sulfamethoxazole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SXT</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25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Folate pathway inhibitor</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Highly 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Chloramphenicol</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Phenicol</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Highly 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Nalidixic acid</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First-gen quinolone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Tetracycline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Tetracycline</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Important</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Amoxicillin-Clavulanic acid</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AMC</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β-lactam/inhibitor combination</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Highly Important</w:t>
            </w:r>
          </w:p>
        </w:tc>
      </w:tr>
    </w:tbl>
    <w:p>
      <w:pPr>
        <w:spacing w:after="120"/>
      </w:pPr>
    </w:p>
    <w:p>
      <w:pPr>
        <w:spacing w:before="120" w:after="60" w:line="480" w:lineRule="auto"/>
        <w:jc w:val="left"/>
      </w:pPr>
      <w:r>
        <w:rPr>
          <w:rFonts w:ascii="Times New Roman" w:hAnsi="Times New Roman"/>
          <w:b/>
          <w:i/>
          <w:sz w:val="24"/>
        </w:rPr>
        <w:t>3.7.6 Determination of Multiple Antibiotic Resistance (MAR) Index</w:t>
      </w:r>
    </w:p>
    <w:p>
      <w:pPr>
        <w:spacing w:before="0" w:after="120" w:line="480" w:lineRule="auto"/>
        <w:jc w:val="both"/>
      </w:pPr>
      <w:r>
        <w:rPr>
          <w:rFonts w:ascii="Times New Roman" w:hAnsi="Times New Roman"/>
          <w:b w:val="0"/>
          <w:i w:val="0"/>
          <w:sz w:val="24"/>
        </w:rPr>
        <w:t xml:space="preserve">The Multiple Antibiotic Resistance (MAR) index was calculated for each </w:t>
      </w:r>
      <w:r>
        <w:rPr>
          <w:rFonts w:ascii="Times New Roman" w:hAnsi="Times New Roman"/>
          <w:b w:val="0"/>
          <w:i/>
          <w:sz w:val="24"/>
        </w:rPr>
        <w:t>E. coli</w:t>
      </w:r>
      <w:r>
        <w:rPr>
          <w:rFonts w:ascii="Times New Roman" w:hAnsi="Times New Roman"/>
          <w:b w:val="0"/>
          <w:i w:val="0"/>
          <w:sz w:val="24"/>
        </w:rPr>
        <w:t xml:space="preserve"> isolate as a quantitative measure of the degree of multidrug resistance relative to the total number of antibiotics tested, using the formula described by Roe and Pillai (2003):</w:t>
      </w:r>
    </w:p>
    <w:p>
      <w:pPr>
        <w:spacing w:before="0" w:after="120" w:line="480" w:lineRule="auto"/>
        <w:jc w:val="both"/>
      </w:pPr>
      <w:r>
        <w:rPr>
          <w:rFonts w:ascii="Times New Roman" w:hAnsi="Times New Roman"/>
          <w:b w:val="0"/>
          <w:i w:val="0"/>
          <w:sz w:val="24"/>
        </w:rPr>
        <w:t>$$\text{MAR index} = \frac{a}{b}$$</w:t>
      </w:r>
    </w:p>
    <w:p>
      <w:pPr>
        <w:spacing w:before="0" w:after="120" w:line="480" w:lineRule="auto"/>
        <w:jc w:val="both"/>
      </w:pPr>
      <w:r>
        <w:rPr>
          <w:rFonts w:ascii="Times New Roman" w:hAnsi="Times New Roman"/>
          <w:b w:val="0"/>
          <w:i w:val="0"/>
          <w:sz w:val="24"/>
        </w:rPr>
        <w:t xml:space="preserve">Where </w:t>
      </w:r>
      <w:r>
        <w:rPr>
          <w:rFonts w:ascii="Times New Roman" w:hAnsi="Times New Roman"/>
          <w:b w:val="0"/>
          <w:i/>
          <w:sz w:val="24"/>
        </w:rPr>
        <w:t>a</w:t>
      </w:r>
      <w:r>
        <w:rPr>
          <w:rFonts w:ascii="Times New Roman" w:hAnsi="Times New Roman"/>
          <w:b w:val="0"/>
          <w:i w:val="0"/>
          <w:sz w:val="24"/>
        </w:rPr>
        <w:t xml:space="preserve"> equals the number of antibiotic classes to which the isolate was found to be resistant, and </w:t>
      </w:r>
      <w:r>
        <w:rPr>
          <w:rFonts w:ascii="Times New Roman" w:hAnsi="Times New Roman"/>
          <w:b w:val="0"/>
          <w:i/>
          <w:sz w:val="24"/>
        </w:rPr>
        <w:t>b</w:t>
      </w:r>
      <w:r>
        <w:rPr>
          <w:rFonts w:ascii="Times New Roman" w:hAnsi="Times New Roman"/>
          <w:b w:val="0"/>
          <w:i w:val="0"/>
          <w:sz w:val="24"/>
        </w:rPr>
        <w:t xml:space="preserve"> equals the total number of antibiotic classes tested (b = 10 in this study). The resulting index ranges from 0 (susceptible to all antibiotics tested) to 1 (resistant to all antibiotics tested). A MAR index exceeding 0.2 was taken as the threshold indicating that the isolate originated from a high-risk source in which antibiotics are frequently used or misused, consistent with the convention established in the veterinary AMR literature (Roe &amp; Pillai, 2003; Ejeh et al., 2017). Isolates with a MAR index &gt;0.2 were classified as multidrug resistant (MDR) and were subsequently subjected to molecular screening for Class I and Class II integrons.</w:t>
      </w:r>
    </w:p>
    <w:p>
      <w:pPr>
        <w:spacing w:before="120" w:after="60" w:line="480" w:lineRule="auto"/>
        <w:jc w:val="left"/>
      </w:pPr>
      <w:r>
        <w:rPr>
          <w:rFonts w:ascii="Times New Roman" w:hAnsi="Times New Roman"/>
          <w:b/>
          <w:i/>
          <w:sz w:val="24"/>
        </w:rPr>
        <w:t>3.7.7 Detection of Class I Integrons by PCR</w:t>
      </w:r>
    </w:p>
    <w:p>
      <w:pPr>
        <w:spacing w:before="0" w:after="120" w:line="480" w:lineRule="auto"/>
        <w:jc w:val="both"/>
      </w:pPr>
      <w:r>
        <w:rPr>
          <w:rFonts w:ascii="Times New Roman" w:hAnsi="Times New Roman"/>
          <w:b w:val="0"/>
          <w:i w:val="0"/>
          <w:sz w:val="24"/>
        </w:rPr>
        <w:t xml:space="preserve">All MDR </w:t>
      </w:r>
      <w:r>
        <w:rPr>
          <w:rFonts w:ascii="Times New Roman" w:hAnsi="Times New Roman"/>
          <w:b w:val="0"/>
          <w:i/>
          <w:sz w:val="24"/>
        </w:rPr>
        <w:t>E. coli</w:t>
      </w:r>
      <w:r>
        <w:rPr>
          <w:rFonts w:ascii="Times New Roman" w:hAnsi="Times New Roman"/>
          <w:b w:val="0"/>
          <w:i w:val="0"/>
          <w:sz w:val="24"/>
        </w:rPr>
        <w:t xml:space="preserve"> isolates (n = 37; MAR index &gt;0.2) were subjected to PCR for detection of Class I integrons using primers CSL1 (forward) and CSR1 (reverse), which target the Class I integron integrase gene (</w:t>
      </w:r>
      <w:r>
        <w:rPr>
          <w:rFonts w:ascii="Times New Roman" w:hAnsi="Times New Roman"/>
          <w:b w:val="0"/>
          <w:i/>
          <w:sz w:val="24"/>
        </w:rPr>
        <w:t>intI1</w:t>
      </w:r>
      <w:r>
        <w:rPr>
          <w:rFonts w:ascii="Times New Roman" w:hAnsi="Times New Roman"/>
          <w:b w:val="0"/>
          <w:i w:val="0"/>
          <w:sz w:val="24"/>
        </w:rPr>
        <w:t xml:space="preserve">) as described by Fonseca et al. (2005). These primers amplify a region spanning the </w:t>
      </w:r>
      <w:r>
        <w:rPr>
          <w:rFonts w:ascii="Times New Roman" w:hAnsi="Times New Roman"/>
          <w:b w:val="0"/>
          <w:i/>
          <w:sz w:val="24"/>
        </w:rPr>
        <w:t>intI1</w:t>
      </w:r>
      <w:r>
        <w:rPr>
          <w:rFonts w:ascii="Times New Roman" w:hAnsi="Times New Roman"/>
          <w:b w:val="0"/>
          <w:i w:val="0"/>
          <w:sz w:val="24"/>
        </w:rPr>
        <w:t xml:space="preserve"> integrase gene and produce an amplicon of approximately 1,100 bp in integron-positive isolates.</w:t>
      </w:r>
    </w:p>
    <w:p>
      <w:pPr>
        <w:spacing w:before="0" w:after="120" w:line="480" w:lineRule="auto"/>
        <w:jc w:val="both"/>
      </w:pPr>
      <w:r>
        <w:rPr>
          <w:rFonts w:ascii="Times New Roman" w:hAnsi="Times New Roman"/>
          <w:b w:val="0"/>
          <w:i w:val="0"/>
          <w:sz w:val="24"/>
        </w:rPr>
        <w:t>Each PCR reaction (total volume 25 µL) comprised: 12.5 µL of Top Taq PCR master mix (2×; Qiagen), 1 µL of CSL1 forward primer (10 mM), 1 µL of CSR1 reverse primer (10 mM), 5.5 µL of nuclease-free water, and 5 µL of extracted DNA template. Negative controls (nuclease-free water) and positive controls were included in every run. Thermal cycling conditions in the Bio-Rad MyCycler® were as follows: initial denaturation at 94°C for 3 minutes; followed by 40 cycles of denaturation at 94°C for 1 minute, annealing at 49°C for 30 seconds, and extension at 72°C for 1 minute 30 seconds; and a final extension step at 72°C for 10 minutes. PCR products were resolved by agarose gel electrophoresis as described in Section 3.7.9; isolates yielding a band at approximately 1,100 bp were recorded as Class I integron-positive (Plate 4.3).</w:t>
      </w:r>
    </w:p>
    <w:p>
      <w:pPr>
        <w:spacing w:before="120" w:after="60" w:line="480" w:lineRule="auto"/>
        <w:jc w:val="left"/>
      </w:pPr>
      <w:r>
        <w:rPr>
          <w:rFonts w:ascii="Times New Roman" w:hAnsi="Times New Roman"/>
          <w:b/>
          <w:i/>
          <w:sz w:val="24"/>
        </w:rPr>
        <w:t>3.7.8 Detection of Class II Integrons by PCR</w:t>
      </w:r>
    </w:p>
    <w:p>
      <w:pPr>
        <w:spacing w:before="0" w:after="120" w:line="480" w:lineRule="auto"/>
        <w:jc w:val="both"/>
      </w:pPr>
      <w:r>
        <w:rPr>
          <w:rFonts w:ascii="Times New Roman" w:hAnsi="Times New Roman"/>
          <w:b w:val="0"/>
          <w:i w:val="0"/>
          <w:sz w:val="24"/>
        </w:rPr>
        <w:t xml:space="preserve">Class II integron detection was performed on all 37 MDR </w:t>
      </w:r>
      <w:r>
        <w:rPr>
          <w:rFonts w:ascii="Times New Roman" w:hAnsi="Times New Roman"/>
          <w:b w:val="0"/>
          <w:i/>
          <w:sz w:val="24"/>
        </w:rPr>
        <w:t>E. coli</w:t>
      </w:r>
      <w:r>
        <w:rPr>
          <w:rFonts w:ascii="Times New Roman" w:hAnsi="Times New Roman"/>
          <w:b w:val="0"/>
          <w:i w:val="0"/>
          <w:sz w:val="24"/>
        </w:rPr>
        <w:t xml:space="preserve"> isolates using Class II integron-specific primers targeting the </w:t>
      </w:r>
      <w:r>
        <w:rPr>
          <w:rFonts w:ascii="Times New Roman" w:hAnsi="Times New Roman"/>
          <w:b w:val="0"/>
          <w:i/>
          <w:sz w:val="24"/>
        </w:rPr>
        <w:t>intI2</w:t>
      </w:r>
      <w:r>
        <w:rPr>
          <w:rFonts w:ascii="Times New Roman" w:hAnsi="Times New Roman"/>
          <w:b w:val="0"/>
          <w:i w:val="0"/>
          <w:sz w:val="24"/>
        </w:rPr>
        <w:t xml:space="preserve"> integrase gene (Goldstein et al., 2001). The expected amplicon size for Class II integron-positive isolates was 233 bp.</w:t>
      </w:r>
    </w:p>
    <w:p>
      <w:pPr>
        <w:spacing w:before="0" w:after="120" w:line="480" w:lineRule="auto"/>
        <w:jc w:val="both"/>
      </w:pPr>
      <w:r>
        <w:rPr>
          <w:rFonts w:ascii="Times New Roman" w:hAnsi="Times New Roman"/>
          <w:b w:val="0"/>
          <w:i w:val="0"/>
          <w:sz w:val="24"/>
        </w:rPr>
        <w:t>The PCR reaction mixture composition and thermal cycling conditions were identical to those described for Class I integron detection (Section 3.7.7), with the sole substitution of Class II integron-specific forward and reverse primers for the CSL1/CSR1 primers. PCR products were resolved by agarose gel electrophoresis (Section 3.7.9); isolates yielding a band at approximately 233 bp were recorded as Class II integron-positive (Plate 4.3). The use of standardized PCR conditions for both integron classes facilitated direct comparison of detection efficiency and minimized intra-assay variability.</w:t>
      </w:r>
    </w:p>
    <w:p>
      <w:pPr>
        <w:spacing w:before="120" w:after="60" w:line="480" w:lineRule="auto"/>
        <w:jc w:val="left"/>
      </w:pPr>
      <w:r>
        <w:rPr>
          <w:rFonts w:ascii="Times New Roman" w:hAnsi="Times New Roman"/>
          <w:b/>
          <w:i/>
          <w:sz w:val="24"/>
        </w:rPr>
        <w:t>3.7.9 Agarose Gel Electrophoresis</w:t>
      </w:r>
    </w:p>
    <w:p>
      <w:pPr>
        <w:spacing w:before="0" w:after="120" w:line="480" w:lineRule="auto"/>
        <w:jc w:val="both"/>
      </w:pPr>
      <w:r>
        <w:rPr>
          <w:rFonts w:ascii="Times New Roman" w:hAnsi="Times New Roman"/>
          <w:b w:val="0"/>
          <w:i w:val="0"/>
          <w:sz w:val="24"/>
        </w:rPr>
        <w:t>All PCR products were resolved and visualized by agarose gel electrophoresis. One gram of agarose powder (Biolabs, USA) was dissolved in 100 mL of 1× Tris Acetate EDTA (TAE) buffer and homogenized by heating in a microwave oven until completely dissolved. The solution was allowed to cool to approximately 50°C, at which point approximately 5 µL of ethidium bromide solution (10 mg/mL) was added as a DNA intercalating stain. The gel was poured into an assembled horizontal gel mould with appropriately sized well combs and allowed to solidify at room temperature for 30 minutes. The set gel was transferred to the electrophoresis tank (Bio-Rad, USA) containing 1× TAE running buffer.</w:t>
      </w:r>
    </w:p>
    <w:p>
      <w:pPr>
        <w:spacing w:before="0" w:after="120" w:line="480" w:lineRule="auto"/>
        <w:jc w:val="both"/>
      </w:pPr>
      <w:r>
        <w:rPr>
          <w:rFonts w:ascii="Times New Roman" w:hAnsi="Times New Roman"/>
          <w:b w:val="0"/>
          <w:i w:val="0"/>
          <w:sz w:val="24"/>
        </w:rPr>
        <w:t xml:space="preserve">PCR product samples (5 µL) were mixed with 2 µL of 6× loading dye and loaded into designated wells. A 100 bp DNA ladder (DSB, China) was loaded into the first well of each row as a molecular size standard. Electrophoresis was conducted at a constant voltage of 100 V for 45 minutes. Following electrophoresis, the gel was examined and documented on a UV transilluminator (Bio-Rad, USA). Band positions were compared against the 100 bp ladder to confirm amplicon sizes of approximately 1,500 bp (16S rRNA confirmation of </w:t>
      </w:r>
      <w:r>
        <w:rPr>
          <w:rFonts w:ascii="Times New Roman" w:hAnsi="Times New Roman"/>
          <w:b w:val="0"/>
          <w:i/>
          <w:sz w:val="24"/>
        </w:rPr>
        <w:t>E. coli</w:t>
      </w:r>
      <w:r>
        <w:rPr>
          <w:rFonts w:ascii="Times New Roman" w:hAnsi="Times New Roman"/>
          <w:b w:val="0"/>
          <w:i w:val="0"/>
          <w:sz w:val="24"/>
        </w:rPr>
        <w:t>), 1,100 bp (Class I integron), and 233 bp (Class II integron).</w:t>
      </w:r>
    </w:p>
    <w:p>
      <w:pPr>
        <w:pStyle w:val="Heading3"/>
        <w:spacing w:before="120" w:after="60" w:line="480" w:lineRule="auto"/>
        <w:jc w:val="left"/>
      </w:pPr>
      <w:r>
        <w:rPr>
          <w:rFonts w:ascii="Times New Roman" w:hAnsi="Times New Roman"/>
          <w:b/>
          <w:i w:val="0"/>
          <w:color w:val="000000"/>
          <w:sz w:val="24"/>
        </w:rPr>
        <w:t>3.8 Data Analysis</w:t>
      </w:r>
    </w:p>
    <w:p>
      <w:pPr>
        <w:spacing w:before="0" w:after="120" w:line="480" w:lineRule="auto"/>
        <w:jc w:val="both"/>
      </w:pPr>
      <w:r>
        <w:rPr>
          <w:rFonts w:ascii="Times New Roman" w:hAnsi="Times New Roman"/>
          <w:b w:val="0"/>
          <w:i w:val="0"/>
          <w:sz w:val="24"/>
        </w:rPr>
        <w:t xml:space="preserve">Data were entered and managed in Microsoft Excel 2019 (Microsoft Corporation, USA) and analyzed using Python 3.11 (Python Software Foundation) with the SciPy scientific computing library (Virtanen et al., 2020; </w:t>
      </w:r>
      <w:r>
        <w:rPr>
          <w:rFonts w:ascii="Times New Roman" w:hAnsi="Times New Roman"/>
          <w:b w:val="0"/>
          <w:i/>
          <w:sz w:val="24"/>
        </w:rPr>
        <w:t>scipy.stats</w:t>
      </w:r>
      <w:r>
        <w:rPr>
          <w:rFonts w:ascii="Times New Roman" w:hAnsi="Times New Roman"/>
          <w:b w:val="0"/>
          <w:i w:val="0"/>
          <w:sz w:val="24"/>
        </w:rPr>
        <w:t xml:space="preserve"> module). All results were expressed as frequencies and proportions (percentages). The prevalence of </w:t>
      </w:r>
      <w:r>
        <w:rPr>
          <w:rFonts w:ascii="Times New Roman" w:hAnsi="Times New Roman"/>
          <w:b w:val="0"/>
          <w:i/>
          <w:sz w:val="24"/>
        </w:rPr>
        <w:t>E. coli</w:t>
      </w:r>
      <w:r>
        <w:rPr>
          <w:rFonts w:ascii="Times New Roman" w:hAnsi="Times New Roman"/>
          <w:b w:val="0"/>
          <w:i w:val="0"/>
          <w:sz w:val="24"/>
        </w:rPr>
        <w:t>, the proportion of MDR isolates, and the prevalence of Class I and Class II integrons were calculated as the number of positive isolates divided by the total number of samples tested, expressed as a percentage.</w:t>
      </w:r>
    </w:p>
    <w:p>
      <w:pPr>
        <w:spacing w:before="0" w:after="120" w:line="480" w:lineRule="auto"/>
        <w:jc w:val="both"/>
      </w:pPr>
      <w:r>
        <w:rPr>
          <w:rFonts w:ascii="Times New Roman" w:hAnsi="Times New Roman"/>
          <w:b w:val="0"/>
          <w:i w:val="0"/>
          <w:sz w:val="24"/>
        </w:rPr>
        <w:t xml:space="preserve">The chi-square (χ²) test of independence was used to assess associations between categorical variables, specifically between vendor location and </w:t>
      </w:r>
      <w:r>
        <w:rPr>
          <w:rFonts w:ascii="Times New Roman" w:hAnsi="Times New Roman"/>
          <w:b w:val="0"/>
          <w:i/>
          <w:sz w:val="24"/>
        </w:rPr>
        <w:t>E. coli</w:t>
      </w:r>
      <w:r>
        <w:rPr>
          <w:rFonts w:ascii="Times New Roman" w:hAnsi="Times New Roman"/>
          <w:b w:val="0"/>
          <w:i w:val="0"/>
          <w:sz w:val="24"/>
        </w:rPr>
        <w:t xml:space="preserve"> prevalence, between vendor location and Class I integron carriage, and between vendor location and Class II integron carriage. Where expected cell frequencies were less than five in any cell of a contingency table, Fisher's Exact Test was applied in place of the chi-square test to avoid inflated Type I error. The threshold for statistical significance was set at </w:t>
      </w:r>
      <w:r>
        <w:rPr>
          <w:rFonts w:ascii="Times New Roman" w:hAnsi="Times New Roman"/>
          <w:b w:val="0"/>
          <w:i/>
          <w:sz w:val="24"/>
        </w:rPr>
        <w:t>P</w:t>
      </w:r>
      <w:r>
        <w:rPr>
          <w:rFonts w:ascii="Times New Roman" w:hAnsi="Times New Roman"/>
          <w:b w:val="0"/>
          <w:i w:val="0"/>
          <w:sz w:val="24"/>
        </w:rPr>
        <w:t xml:space="preserve"> &lt; 0.05 (two-tailed) for all tests. All statistical analyses were conducted and verified using Python SciPy; results are presented in Chapter 4.</w:t>
      </w:r>
    </w:p>
    <w:p>
      <w:pPr>
        <w:pStyle w:val="Heading3"/>
        <w:spacing w:before="120" w:after="60" w:line="480" w:lineRule="auto"/>
        <w:jc w:val="left"/>
      </w:pPr>
      <w:r>
        <w:rPr>
          <w:rFonts w:ascii="Times New Roman" w:hAnsi="Times New Roman"/>
          <w:b/>
          <w:i w:val="0"/>
          <w:color w:val="000000"/>
          <w:sz w:val="24"/>
        </w:rPr>
        <w:t>References for Chapter 3</w:t>
      </w:r>
    </w:p>
    <w:p>
      <w:pPr>
        <w:spacing w:before="0" w:after="120" w:line="480" w:lineRule="auto"/>
        <w:jc w:val="both"/>
      </w:pPr>
      <w:r>
        <w:rPr>
          <w:rFonts w:ascii="Times New Roman" w:hAnsi="Times New Roman"/>
          <w:b w:val="0"/>
          <w:i/>
          <w:sz w:val="24"/>
        </w:rPr>
        <w:t>(Full reference list in Chapter 8: References and Appendices)</w:t>
      </w:r>
    </w:p>
    <w:p>
      <w:pPr>
        <w:spacing w:before="0" w:after="120" w:line="480" w:lineRule="auto"/>
        <w:jc w:val="both"/>
      </w:pPr>
      <w:r>
        <w:rPr>
          <w:rFonts w:ascii="Times New Roman" w:hAnsi="Times New Roman"/>
          <w:b/>
          <w:i w:val="0"/>
          <w:sz w:val="24"/>
        </w:rPr>
        <w:t>In-text citations used in this chapter:</w:t>
      </w:r>
    </w:p>
    <w:p>
      <w:pPr>
        <w:pStyle w:val="ListBullet"/>
        <w:spacing w:before="40" w:after="40" w:line="240" w:lineRule="auto"/>
        <w:jc w:val="both"/>
      </w:pPr>
      <w:r>
        <w:rPr>
          <w:rFonts w:ascii="Times New Roman" w:hAnsi="Times New Roman"/>
          <w:b w:val="0"/>
          <w:i w:val="0"/>
          <w:sz w:val="24"/>
        </w:rPr>
        <w:t>Cheesbrough (2006) ⚑: standard laboratory manual [not in Literatures/, confirm APA before submission]</w:t>
      </w:r>
    </w:p>
    <w:p>
      <w:pPr>
        <w:pStyle w:val="ListBullet"/>
        <w:spacing w:before="40" w:after="40" w:line="240" w:lineRule="auto"/>
        <w:jc w:val="both"/>
      </w:pPr>
      <w:r>
        <w:rPr>
          <w:rFonts w:ascii="Times New Roman" w:hAnsi="Times New Roman"/>
          <w:b w:val="0"/>
          <w:i w:val="0"/>
          <w:sz w:val="24"/>
        </w:rPr>
        <w:t>CLSI (2024) ⚑: standards document [not in Literatures/, confirm APA before submission]</w:t>
      </w:r>
    </w:p>
    <w:p>
      <w:pPr>
        <w:pStyle w:val="ListBullet"/>
        <w:spacing w:before="40" w:after="40" w:line="240" w:lineRule="auto"/>
        <w:jc w:val="both"/>
      </w:pPr>
      <w:r>
        <w:rPr>
          <w:rFonts w:ascii="Times New Roman" w:hAnsi="Times New Roman"/>
          <w:b w:val="0"/>
          <w:i w:val="0"/>
          <w:sz w:val="24"/>
        </w:rPr>
        <w:t xml:space="preserve">Ejeh et al. (2017): </w:t>
      </w:r>
      <w:r>
        <w:rPr>
          <w:rFonts w:ascii="Times New Roman" w:hAnsi="Times New Roman"/>
          <w:b w:val="0"/>
          <w:i/>
          <w:sz w:val="24"/>
        </w:rPr>
        <w:t>Ejeh2017.pdf</w:t>
      </w:r>
    </w:p>
    <w:p>
      <w:pPr>
        <w:pStyle w:val="ListBullet"/>
        <w:spacing w:before="40" w:after="40" w:line="240" w:lineRule="auto"/>
        <w:jc w:val="both"/>
      </w:pPr>
      <w:r>
        <w:rPr>
          <w:rFonts w:ascii="Times New Roman" w:hAnsi="Times New Roman"/>
          <w:b w:val="0"/>
          <w:i w:val="0"/>
          <w:sz w:val="24"/>
        </w:rPr>
        <w:t xml:space="preserve">Fonseca et al. (2005): </w:t>
      </w:r>
      <w:r>
        <w:rPr>
          <w:rFonts w:ascii="Times New Roman" w:hAnsi="Times New Roman"/>
          <w:b w:val="0"/>
          <w:i/>
          <w:sz w:val="24"/>
        </w:rPr>
        <w:t>Fonseca2005_intgr.pdf</w:t>
      </w:r>
    </w:p>
    <w:p>
      <w:pPr>
        <w:pStyle w:val="ListBullet"/>
        <w:spacing w:before="40" w:after="40" w:line="240" w:lineRule="auto"/>
        <w:jc w:val="both"/>
      </w:pPr>
      <w:r>
        <w:rPr>
          <w:rFonts w:ascii="Times New Roman" w:hAnsi="Times New Roman"/>
          <w:b w:val="0"/>
          <w:i w:val="0"/>
          <w:sz w:val="24"/>
        </w:rPr>
        <w:t xml:space="preserve">Goldstein et al. (2001): </w:t>
      </w:r>
      <w:r>
        <w:rPr>
          <w:rFonts w:ascii="Times New Roman" w:hAnsi="Times New Roman"/>
          <w:b w:val="0"/>
          <w:i/>
          <w:sz w:val="24"/>
        </w:rPr>
        <w:t>Goldstein2001.pdf</w:t>
      </w:r>
    </w:p>
    <w:p>
      <w:pPr>
        <w:pStyle w:val="ListBullet"/>
        <w:spacing w:before="40" w:after="40" w:line="240" w:lineRule="auto"/>
        <w:jc w:val="both"/>
      </w:pPr>
      <w:r>
        <w:rPr>
          <w:rFonts w:ascii="Times New Roman" w:hAnsi="Times New Roman"/>
          <w:b w:val="0"/>
          <w:i w:val="0"/>
          <w:sz w:val="24"/>
        </w:rPr>
        <w:t>Lane (1991) ⚑: primer reference [not in Literatures/, confirm APA before submission]</w:t>
      </w:r>
    </w:p>
    <w:p>
      <w:pPr>
        <w:pStyle w:val="ListBullet"/>
        <w:spacing w:before="40" w:after="40" w:line="240" w:lineRule="auto"/>
        <w:jc w:val="both"/>
      </w:pPr>
      <w:r>
        <w:rPr>
          <w:rFonts w:ascii="Times New Roman" w:hAnsi="Times New Roman"/>
          <w:b w:val="0"/>
          <w:i w:val="0"/>
          <w:sz w:val="24"/>
        </w:rPr>
        <w:t xml:space="preserve">Lévesque et al. (1995): </w:t>
      </w:r>
      <w:r>
        <w:rPr>
          <w:rFonts w:ascii="Times New Roman" w:hAnsi="Times New Roman"/>
          <w:b w:val="0"/>
          <w:i/>
          <w:sz w:val="24"/>
        </w:rPr>
        <w:t>Levesque1995_intgr.pdf</w:t>
      </w:r>
    </w:p>
    <w:p>
      <w:pPr>
        <w:pStyle w:val="ListBullet"/>
        <w:spacing w:before="40" w:after="40" w:line="240" w:lineRule="auto"/>
        <w:jc w:val="both"/>
      </w:pPr>
      <w:r>
        <w:rPr>
          <w:rFonts w:ascii="Times New Roman" w:hAnsi="Times New Roman"/>
          <w:b w:val="0"/>
          <w:i w:val="0"/>
          <w:sz w:val="24"/>
        </w:rPr>
        <w:t xml:space="preserve">Roe &amp; Pillai (2003): </w:t>
      </w:r>
      <w:r>
        <w:rPr>
          <w:rFonts w:ascii="Times New Roman" w:hAnsi="Times New Roman"/>
          <w:b w:val="0"/>
          <w:i/>
          <w:sz w:val="24"/>
        </w:rPr>
        <w:t>Roe2003.pdf</w:t>
      </w:r>
    </w:p>
    <w:p>
      <w:pPr>
        <w:pStyle w:val="ListBullet"/>
        <w:spacing w:before="40" w:after="40" w:line="240" w:lineRule="auto"/>
        <w:jc w:val="both"/>
      </w:pPr>
      <w:r>
        <w:rPr>
          <w:rFonts w:ascii="Times New Roman" w:hAnsi="Times New Roman"/>
          <w:b w:val="0"/>
          <w:i w:val="0"/>
          <w:sz w:val="24"/>
        </w:rPr>
        <w:t>Thrusfield (2007) ⚑: sample size textbook [not in Literatures/, confirm APA before submission]</w:t>
      </w:r>
    </w:p>
    <w:p>
      <w:pPr>
        <w:pStyle w:val="ListBullet"/>
        <w:spacing w:before="40" w:after="40" w:line="240" w:lineRule="auto"/>
        <w:jc w:val="both"/>
      </w:pPr>
      <w:r>
        <w:rPr>
          <w:rFonts w:ascii="Times New Roman" w:hAnsi="Times New Roman"/>
          <w:b w:val="0"/>
          <w:i w:val="0"/>
          <w:sz w:val="24"/>
        </w:rPr>
        <w:t>Virtanen et al. (2020) ⚑: SciPy library reference [not in Literatures/, confirm APA before submission]</w:t>
      </w:r>
    </w:p>
    <w:p>
      <w:pPr>
        <w:spacing w:before="60" w:after="60" w:line="240" w:lineRule="auto"/>
        <w:ind w:left="720"/>
        <w:jc w:val="left"/>
      </w:pPr>
      <w:r>
        <w:rPr>
          <w:rFonts w:ascii="Times New Roman" w:hAnsi="Times New Roman"/>
          <w:b w:val="0"/>
          <w:i/>
          <w:sz w:val="22"/>
        </w:rPr>
        <w:t xml:space="preserve">Note: ⚑ = Essential methodology standard or textbook; not a peer-reviewed PDF in </w:t>
      </w:r>
      <w:r>
        <w:rPr>
          <w:rFonts w:ascii="Times New Roman" w:hAnsi="Times New Roman"/>
          <w:b w:val="0"/>
          <w:i/>
          <w:sz w:val="22"/>
        </w:rPr>
        <w:t>Literatures/</w:t>
      </w:r>
      <w:r>
        <w:rPr>
          <w:rFonts w:ascii="Times New Roman" w:hAnsi="Times New Roman"/>
          <w:b w:val="0"/>
          <w:i/>
          <w:sz w:val="22"/>
        </w:rPr>
        <w:t>. Standard APA citations are provided in the References chapter. Amina or supervisors should confirm the correct edition and page details before final submission.</w:t>
      </w:r>
    </w:p>
    <w:p>
      <w:r>
        <w:br w:type="page"/>
      </w:r>
    </w:p>
    <w:p>
      <w:pPr>
        <w:pStyle w:val="Heading1"/>
        <w:spacing w:before="240" w:after="120" w:line="480" w:lineRule="auto"/>
        <w:jc w:val="center"/>
      </w:pPr>
      <w:r>
        <w:rPr>
          <w:rFonts w:ascii="Times New Roman" w:hAnsi="Times New Roman"/>
          <w:b/>
          <w:i w:val="0"/>
          <w:color w:val="000000"/>
          <w:sz w:val="28"/>
        </w:rPr>
        <w:t>CHAPTER FOUR</w:t>
      </w:r>
    </w:p>
    <w:p>
      <w:pPr>
        <w:pStyle w:val="Heading2"/>
        <w:spacing w:before="240" w:after="120" w:line="480" w:lineRule="auto"/>
        <w:jc w:val="left"/>
      </w:pPr>
      <w:r>
        <w:rPr>
          <w:rFonts w:ascii="Times New Roman" w:hAnsi="Times New Roman"/>
          <w:b/>
          <w:i w:val="0"/>
          <w:color w:val="000000"/>
          <w:sz w:val="24"/>
        </w:rPr>
        <w:t>RESULTS</w:t>
      </w: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Tense note:</w:t>
      </w:r>
      <w:r>
        <w:rPr>
          <w:rFonts w:ascii="Times New Roman" w:hAnsi="Times New Roman"/>
          <w:b w:val="0"/>
          <w:i/>
          <w:sz w:val="22"/>
        </w:rPr>
        <w:t xml:space="preserve"> This entire chapter is written in the past tense. Results are presented objectively; interpretation is reserved for Chapter 5.  </w:t>
      </w:r>
      <w:r>
        <w:rPr>
          <w:rFonts w:ascii="Times New Roman" w:hAnsi="Times New Roman"/>
          <w:b/>
          <w:i/>
          <w:sz w:val="22"/>
        </w:rPr>
        <w:t>Statistical note:</w:t>
      </w:r>
      <w:r>
        <w:rPr>
          <w:rFonts w:ascii="Times New Roman" w:hAnsi="Times New Roman"/>
          <w:b w:val="0"/>
          <w:i/>
          <w:sz w:val="22"/>
        </w:rPr>
        <w:t xml:space="preserve"> All chi-square tests were performed using Python SciPy (chi2_contingency). Because minimum expected cell frequencies were &lt;5 in all three contingency tables, a consequence of the small number of </w:t>
      </w:r>
      <w:r>
        <w:rPr>
          <w:rFonts w:ascii="Times New Roman" w:hAnsi="Times New Roman"/>
          <w:b w:val="0"/>
          <w:i/>
          <w:sz w:val="22"/>
        </w:rPr>
        <w:t>E. coli</w:t>
      </w:r>
      <w:r>
        <w:rPr>
          <w:rFonts w:ascii="Times New Roman" w:hAnsi="Times New Roman"/>
          <w:b w:val="0"/>
          <w:i/>
          <w:sz w:val="22"/>
        </w:rPr>
        <w:t xml:space="preserve"> isolates per vendor location, the chi-square values are reported with the caution that they should be interpreted accordingly. Fisher's Exact Test applies strictly to 2×2 tables and could not be applied to the 2×8 tables used here.  </w:t>
      </w:r>
      <w:r>
        <w:rPr>
          <w:rFonts w:ascii="Times New Roman" w:hAnsi="Times New Roman"/>
          <w:b/>
          <w:i/>
          <w:sz w:val="22"/>
        </w:rPr>
        <w:t>Plate captions:</w:t>
      </w:r>
      <w:r>
        <w:rPr>
          <w:rFonts w:ascii="Times New Roman" w:hAnsi="Times New Roman"/>
          <w:b w:val="0"/>
          <w:i/>
          <w:sz w:val="22"/>
        </w:rPr>
        <w:t xml:space="preserve"> Plate 4.1 (EMB colonies), Plate 4.2 (16S rRNA gel), and Plate 4.3 (integron gel) are referenced below. Insert actual gel images from </w:t>
      </w:r>
      <w:r>
        <w:rPr>
          <w:rFonts w:ascii="Times New Roman" w:hAnsi="Times New Roman"/>
          <w:b w:val="0"/>
          <w:i/>
          <w:sz w:val="22"/>
        </w:rPr>
        <w:t>Results/gel_images/</w:t>
      </w:r>
      <w:r>
        <w:rPr>
          <w:rFonts w:ascii="Times New Roman" w:hAnsi="Times New Roman"/>
          <w:b w:val="0"/>
          <w:i/>
          <w:sz w:val="22"/>
        </w:rPr>
        <w:t xml:space="preserve"> with accurate lane descriptions before final typesetting.</w:t>
      </w:r>
    </w:p>
    <w:p>
      <w:pPr>
        <w:pStyle w:val="Heading3"/>
        <w:spacing w:before="120" w:after="60" w:line="480" w:lineRule="auto"/>
        <w:jc w:val="left"/>
      </w:pPr>
      <w:r>
        <w:rPr>
          <w:rFonts w:ascii="Times New Roman" w:hAnsi="Times New Roman"/>
          <w:b/>
          <w:i w:val="0"/>
          <w:color w:val="000000"/>
          <w:sz w:val="24"/>
        </w:rPr>
        <w:t>4.1 Distribution of *Escherichia coli* Isolates from Poultry Manure Samples</w:t>
      </w:r>
    </w:p>
    <w:p>
      <w:pPr>
        <w:spacing w:before="0" w:after="120" w:line="480" w:lineRule="auto"/>
        <w:jc w:val="both"/>
      </w:pPr>
      <w:r>
        <w:rPr>
          <w:rFonts w:ascii="Times New Roman" w:hAnsi="Times New Roman"/>
          <w:b w:val="0"/>
          <w:i w:val="0"/>
          <w:sz w:val="24"/>
        </w:rPr>
        <w:t xml:space="preserve">A total of 152 poultry manure samples were collected from eight commercial poultry manure vendor locations across Zaria Metropolis during the study period. Of the 152 samples cultured on Eosin Methylene Blue (EMB) agar, 88 (57.89%) yielded colonies with the characteristic raised, moist morphology and metallic green sheen indicative of presumptive </w:t>
      </w:r>
      <w:r>
        <w:rPr>
          <w:rFonts w:ascii="Times New Roman" w:hAnsi="Times New Roman"/>
          <w:b w:val="0"/>
          <w:i/>
          <w:sz w:val="24"/>
        </w:rPr>
        <w:t>Escherichia coli</w:t>
      </w:r>
      <w:r>
        <w:rPr>
          <w:rFonts w:ascii="Times New Roman" w:hAnsi="Times New Roman"/>
          <w:b w:val="0"/>
          <w:i w:val="0"/>
          <w:sz w:val="24"/>
        </w:rPr>
        <w:t xml:space="preserve"> (Plate 4.1). Following Gram staining and standard biochemical confirmatory tests, comprising Triple Sugar Iron, Simmons Citrate, Urease, Sulfate-Indole-Motility, and Methyl Red–Voges Proskauer reactions, 37 of the 152 samples (24.34%) were biochemically confirmed as </w:t>
      </w:r>
      <w:r>
        <w:rPr>
          <w:rFonts w:ascii="Times New Roman" w:hAnsi="Times New Roman"/>
          <w:b w:val="0"/>
          <w:i/>
          <w:sz w:val="24"/>
        </w:rPr>
        <w:t>E. coli</w:t>
      </w:r>
      <w:r>
        <w:rPr>
          <w:rFonts w:ascii="Times New Roman" w:hAnsi="Times New Roman"/>
          <w:b w:val="0"/>
          <w:i w:val="0"/>
          <w:sz w:val="24"/>
        </w:rPr>
        <w:t xml:space="preserve">. The remaining 51 presumptive isolates were excluded following biochemical test results inconsistent with the characteristic </w:t>
      </w:r>
      <w:r>
        <w:rPr>
          <w:rFonts w:ascii="Times New Roman" w:hAnsi="Times New Roman"/>
          <w:b w:val="0"/>
          <w:i/>
          <w:sz w:val="24"/>
        </w:rPr>
        <w:t>E. coli</w:t>
      </w:r>
      <w:r>
        <w:rPr>
          <w:rFonts w:ascii="Times New Roman" w:hAnsi="Times New Roman"/>
          <w:b w:val="0"/>
          <w:i w:val="0"/>
          <w:sz w:val="24"/>
        </w:rPr>
        <w:t xml:space="preserve"> profile.</w:t>
      </w:r>
    </w:p>
    <w:p>
      <w:pPr>
        <w:spacing w:before="0" w:after="120" w:line="480" w:lineRule="auto"/>
        <w:jc w:val="both"/>
      </w:pPr>
      <w:r>
        <w:rPr>
          <w:rFonts w:ascii="Times New Roman" w:hAnsi="Times New Roman"/>
          <w:b w:val="0"/>
          <w:i w:val="0"/>
          <w:sz w:val="24"/>
        </w:rPr>
        <w:t xml:space="preserve">The prevalence of confirmed </w:t>
      </w:r>
      <w:r>
        <w:rPr>
          <w:rFonts w:ascii="Times New Roman" w:hAnsi="Times New Roman"/>
          <w:b w:val="0"/>
          <w:i/>
          <w:sz w:val="24"/>
        </w:rPr>
        <w:t>E. coli</w:t>
      </w:r>
      <w:r>
        <w:rPr>
          <w:rFonts w:ascii="Times New Roman" w:hAnsi="Times New Roman"/>
          <w:b w:val="0"/>
          <w:i w:val="0"/>
          <w:sz w:val="24"/>
        </w:rPr>
        <w:t xml:space="preserve"> varied across the eight vendor locations, ranging from 16.6% at Zabi, Samaru, and Basawa to 31.4% at Dan Magaji (Table 4.1). Dan Magaji and Dembo, which also had the largest sample sizes (35 each), yielded the highest absolute numbers of confirmed </w:t>
      </w:r>
      <w:r>
        <w:rPr>
          <w:rFonts w:ascii="Times New Roman" w:hAnsi="Times New Roman"/>
          <w:b w:val="0"/>
          <w:i/>
          <w:sz w:val="24"/>
        </w:rPr>
        <w:t>E. coli</w:t>
      </w:r>
      <w:r>
        <w:rPr>
          <w:rFonts w:ascii="Times New Roman" w:hAnsi="Times New Roman"/>
          <w:b w:val="0"/>
          <w:i w:val="0"/>
          <w:sz w:val="24"/>
        </w:rPr>
        <w:t xml:space="preserve"> isolates (11 and 8, respectively). Chi-square analysis of the association between vendor location and </w:t>
      </w:r>
      <w:r>
        <w:rPr>
          <w:rFonts w:ascii="Times New Roman" w:hAnsi="Times New Roman"/>
          <w:b w:val="0"/>
          <w:i/>
          <w:sz w:val="24"/>
        </w:rPr>
        <w:t>E. coli</w:t>
      </w:r>
      <w:r>
        <w:rPr>
          <w:rFonts w:ascii="Times New Roman" w:hAnsi="Times New Roman"/>
          <w:b w:val="0"/>
          <w:i w:val="0"/>
          <w:sz w:val="24"/>
        </w:rPr>
        <w:t xml:space="preserve"> prevalence yielded a non-significant result (χ² = 2.240, df = 7, P = 0.945), indicating that there was no statistically significant difference in the proportion of </w:t>
      </w:r>
      <w:r>
        <w:rPr>
          <w:rFonts w:ascii="Times New Roman" w:hAnsi="Times New Roman"/>
          <w:b w:val="0"/>
          <w:i/>
          <w:sz w:val="24"/>
        </w:rPr>
        <w:t>E. coli</w:t>
      </w:r>
      <w:r>
        <w:rPr>
          <w:rFonts w:ascii="Times New Roman" w:hAnsi="Times New Roman"/>
          <w:b w:val="0"/>
          <w:i w:val="0"/>
          <w:sz w:val="24"/>
        </w:rPr>
        <w:t>-positive samples across the eight vendor locations. Due to minimum expected cell frequencies below 5 in the contingency table, this result should be interpreted with caution.</w:t>
      </w:r>
    </w:p>
    <w:p>
      <w:pPr>
        <w:spacing w:before="0" w:after="120" w:line="480" w:lineRule="auto"/>
        <w:jc w:val="both"/>
      </w:pPr>
      <w:r>
        <w:rPr>
          <w:rFonts w:ascii="Times New Roman" w:hAnsi="Times New Roman"/>
          <w:b/>
          <w:i w:val="0"/>
          <w:sz w:val="24"/>
        </w:rPr>
        <w:t>Table 4.1: Distribution of *Escherichia coli* isolates from poultry manure samples obtained from vendors in Zaria Metropolis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S/N</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Location</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No. Samples Tested</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No. Positive on EMB</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 xml:space="preserve">No. Confirmed </w:t>
            </w:r>
            <w:r>
              <w:rPr>
                <w:rFonts w:ascii="Times New Roman" w:hAnsi="Times New Roman"/>
                <w:b/>
                <w:i/>
                <w:sz w:val="22"/>
              </w:rPr>
              <w:t>E. coli</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Proportion (%)</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Dan Magaji</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35</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23</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11</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31.4</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Dakaci</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23</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14</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26.0</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Jushin Ciki</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11</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5</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27.2</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4</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Dembo</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35</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20</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22.8</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5</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Zabi</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16.6</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Dogarawa</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25.0</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Samaru</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16.6</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Basawa</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16.6</w:t>
            </w:r>
          </w:p>
        </w:tc>
      </w:tr>
      <w:tr>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Total</w:t>
            </w:r>
          </w:p>
        </w:tc>
        <w:tc>
          <w:tcPr>
            <w:tcW w:type="dxa" w:w="1440"/>
          </w:tcPr>
          <w:p>
            <w:pPr>
              <w:spacing w:before="40" w:after="40" w:line="240" w:lineRule="auto"/>
              <w:jc w:val="both"/>
            </w:pPr>
            <w:r>
              <w:rPr>
                <w:rFonts w:ascii="Times New Roman" w:hAnsi="Times New Roman"/>
                <w:sz w:val="22"/>
              </w:rPr>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152</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88 (57.89%)</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37 (24.34%)</w:t>
            </w:r>
          </w:p>
        </w:tc>
        <w:tc>
          <w:tcPr>
            <w:tcW w:type="dxa" w:w="1440"/>
          </w:tcPr>
          <w:p>
            <w:pPr>
              <w:spacing w:before="40" w:after="40" w:line="240" w:lineRule="auto"/>
              <w:jc w:val="both"/>
            </w:pPr>
            <w:r>
              <w:rPr>
                <w:rFonts w:ascii="Times New Roman" w:hAnsi="Times New Roman"/>
                <w:sz w:val="22"/>
              </w:rPr>
            </w:r>
          </w:p>
        </w:tc>
      </w:tr>
    </w:tbl>
    <w:p>
      <w:pPr>
        <w:spacing w:after="120"/>
      </w:pP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[Plate 4.1: Eosin Methylene Blue (EMB) agar plate showing metallic green sheen colonies of *Escherichia coli* (arrowed). Insert image from `Results/gel_images/` with lane/colony description.]</w:t>
      </w:r>
    </w:p>
    <w:p>
      <w:pPr>
        <w:pStyle w:val="Heading3"/>
        <w:spacing w:before="120" w:after="60" w:line="480" w:lineRule="auto"/>
        <w:jc w:val="left"/>
      </w:pPr>
      <w:r>
        <w:rPr>
          <w:rFonts w:ascii="Times New Roman" w:hAnsi="Times New Roman"/>
          <w:b/>
          <w:i w:val="0"/>
          <w:color w:val="000000"/>
          <w:sz w:val="24"/>
        </w:rPr>
        <w:t>4.2 PCR Confirmation of *Escherichia coli* Isolates</w:t>
      </w:r>
    </w:p>
    <w:p>
      <w:pPr>
        <w:spacing w:before="0" w:after="120" w:line="480" w:lineRule="auto"/>
        <w:jc w:val="both"/>
      </w:pPr>
      <w:r>
        <w:rPr>
          <w:rFonts w:ascii="Times New Roman" w:hAnsi="Times New Roman"/>
          <w:b w:val="0"/>
          <w:i w:val="0"/>
          <w:sz w:val="24"/>
        </w:rPr>
        <w:t xml:space="preserve">All 37 biochemically confirmed </w:t>
      </w:r>
      <w:r>
        <w:rPr>
          <w:rFonts w:ascii="Times New Roman" w:hAnsi="Times New Roman"/>
          <w:b w:val="0"/>
          <w:i/>
          <w:sz w:val="24"/>
        </w:rPr>
        <w:t>E. coli</w:t>
      </w:r>
      <w:r>
        <w:rPr>
          <w:rFonts w:ascii="Times New Roman" w:hAnsi="Times New Roman"/>
          <w:b w:val="0"/>
          <w:i w:val="0"/>
          <w:sz w:val="24"/>
        </w:rPr>
        <w:t xml:space="preserve"> isolates were subjected to PCR amplification of the </w:t>
      </w:r>
      <w:r>
        <w:rPr>
          <w:rFonts w:ascii="Times New Roman" w:hAnsi="Times New Roman"/>
          <w:b w:val="0"/>
          <w:i/>
          <w:sz w:val="24"/>
        </w:rPr>
        <w:t>E. coli</w:t>
      </w:r>
      <w:r>
        <w:rPr>
          <w:rFonts w:ascii="Times New Roman" w:hAnsi="Times New Roman"/>
          <w:b w:val="0"/>
          <w:i w:val="0"/>
          <w:sz w:val="24"/>
        </w:rPr>
        <w:t xml:space="preserve">-specific 16S ribosomal RNA (rRNA) gene using primers described by Lane (1991). All 37 isolates (100%) produced a distinct amplicon of approximately 1,500 base pairs (bp) on agarose gel electrophoresis, confirming their identity as </w:t>
      </w:r>
      <w:r>
        <w:rPr>
          <w:rFonts w:ascii="Times New Roman" w:hAnsi="Times New Roman"/>
          <w:b w:val="0"/>
          <w:i/>
          <w:sz w:val="24"/>
        </w:rPr>
        <w:t>Escherichia coli</w:t>
      </w:r>
      <w:r>
        <w:rPr>
          <w:rFonts w:ascii="Times New Roman" w:hAnsi="Times New Roman"/>
          <w:b w:val="0"/>
          <w:i w:val="0"/>
          <w:sz w:val="24"/>
        </w:rPr>
        <w:t xml:space="preserve"> (Plate 4.2). The negative control produced no amplification product, and the </w:t>
      </w:r>
      <w:r>
        <w:rPr>
          <w:rFonts w:ascii="Times New Roman" w:hAnsi="Times New Roman"/>
          <w:b w:val="0"/>
          <w:i/>
          <w:sz w:val="24"/>
        </w:rPr>
        <w:t>E. coli</w:t>
      </w:r>
      <w:r>
        <w:rPr>
          <w:rFonts w:ascii="Times New Roman" w:hAnsi="Times New Roman"/>
          <w:b w:val="0"/>
          <w:i w:val="0"/>
          <w:sz w:val="24"/>
        </w:rPr>
        <w:t xml:space="preserve"> ATCC 25922 positive control produced the expected 1,500 bp band in all runs.</w:t>
      </w: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[Plate 4.2: Agarose gel electrophoresis showing PCR amplification of the *E. coli*-specific 16S rRNA gene (~1,500 bp) from confirmed isolates. Lane M = 100 bp DNA ladder; Lanes 1–[N] = isolate numbers; Lane [N+1] = negative control (no template); Lane [N+2] = positive control (*E. coli* ATCC 25922). Insert image from `Results/gel_images/` with accurate lane contents.]</w:t>
      </w:r>
    </w:p>
    <w:p>
      <w:pPr>
        <w:pStyle w:val="Heading3"/>
        <w:spacing w:before="120" w:after="60" w:line="480" w:lineRule="auto"/>
        <w:jc w:val="left"/>
      </w:pPr>
      <w:r>
        <w:rPr>
          <w:rFonts w:ascii="Times New Roman" w:hAnsi="Times New Roman"/>
          <w:b/>
          <w:i w:val="0"/>
          <w:color w:val="000000"/>
          <w:sz w:val="24"/>
        </w:rPr>
        <w:t>4.3 Antibiotic Susceptibility Profile of *Escherichia coli* Isolates</w:t>
      </w:r>
    </w:p>
    <w:p>
      <w:pPr>
        <w:spacing w:before="0" w:after="120" w:line="480" w:lineRule="auto"/>
        <w:jc w:val="both"/>
      </w:pPr>
      <w:r>
        <w:rPr>
          <w:rFonts w:ascii="Times New Roman" w:hAnsi="Times New Roman"/>
          <w:b w:val="0"/>
          <w:i w:val="0"/>
          <w:sz w:val="24"/>
        </w:rPr>
        <w:t xml:space="preserve">The antimicrobial susceptibility profiles of all 37 PCR-confirmed </w:t>
      </w:r>
      <w:r>
        <w:rPr>
          <w:rFonts w:ascii="Times New Roman" w:hAnsi="Times New Roman"/>
          <w:b w:val="0"/>
          <w:i/>
          <w:sz w:val="24"/>
        </w:rPr>
        <w:t>E. coli</w:t>
      </w:r>
      <w:r>
        <w:rPr>
          <w:rFonts w:ascii="Times New Roman" w:hAnsi="Times New Roman"/>
          <w:b w:val="0"/>
          <w:i w:val="0"/>
          <w:sz w:val="24"/>
        </w:rPr>
        <w:t xml:space="preserve"> isolates were determined by the Kirby-Bauer disk diffusion method using a panel of ten antibiotic disks in accordance with CLSI (2024) guidelines. The complete susceptibility profile is presented in Table 4.2.</w:t>
      </w:r>
    </w:p>
    <w:p>
      <w:pPr>
        <w:spacing w:before="0" w:after="120" w:line="480" w:lineRule="auto"/>
        <w:jc w:val="both"/>
      </w:pPr>
      <w:r>
        <w:rPr>
          <w:rFonts w:ascii="Times New Roman" w:hAnsi="Times New Roman"/>
          <w:b w:val="0"/>
          <w:i w:val="0"/>
          <w:sz w:val="24"/>
        </w:rPr>
        <w:t>All 37 isolates (100%) were susceptible to meropenem, the last-resort carbapenem antibiotic, and all 37 (100%) were resistant to azithromycin. Resistance was also very high for trimethoprim-sulfamethoxazole (SXT; 36/37; 97.29%), chloramphenicol (C; 36/37; 97.29%), and ciprofloxacin (CIP; 36/37; 97.29%), followed by nalidixic acid (NA; 35/37; 94.59%), gentamicin (CN; 34/37; 91.89%), and tetracycline (TE; 33/37; 89.18%). Ceftriaxone resistance was detected in 25 of 37 isolates (67.56%), with a further 5 isolates (13.51%) showing intermediate susceptibility. Amoxicillin-clavulanic acid (AMC) had the lowest resistance rate, with only 1 of 37 isolates (2.70%) classified as resistant; 15 isolates (40.54%) were classified as intermediate and 21 (56.75%) were susceptible.</w:t>
      </w:r>
    </w:p>
    <w:p>
      <w:pPr>
        <w:spacing w:before="0" w:after="120" w:line="480" w:lineRule="auto"/>
        <w:jc w:val="both"/>
      </w:pPr>
      <w:r>
        <w:rPr>
          <w:rFonts w:ascii="Times New Roman" w:hAnsi="Times New Roman"/>
          <w:b/>
          <w:i w:val="0"/>
          <w:sz w:val="24"/>
        </w:rPr>
        <w:t>Table 4.2: Antibiotic susceptibility profile of *Escherichia coli* isolates from poultry manure samples in Zaria Metropolis (n =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S/N</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Antibiotic (Disc Content)</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Susceptible n (%)</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Intermediate n (%)</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Resistant n (%)</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Meropenem (10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37 (100.00)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Ceftriaxone (30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 (18.91)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5 (13.51)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25 (67.56)</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Tetracycline (30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 (2.70)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 (8.10)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33 (89.18)</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4</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Gentamicin (10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 (8.10)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34 (91.89)</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5</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Trimethoprim-Sulfamethoxazole (25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 (2.70)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36 (97.29)</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Amoxicillin-Clavulanic acid (30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21 (56.75)</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15 (40.54)</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 (2.70)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Chloramphenicol (30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 (2.70)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36 (97.29)</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Azithromycin (15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37 (100.00)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Ciprofloxacin (5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 (2.70)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36 (97.29)</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Nalidixic acid (30 µg)</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 (5.40)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35 (94.59)</w:t>
            </w:r>
          </w:p>
        </w:tc>
      </w:tr>
    </w:tbl>
    <w:p>
      <w:pPr>
        <w:spacing w:after="120"/>
      </w:pPr>
    </w:p>
    <w:p>
      <w:pPr>
        <w:pStyle w:val="Heading3"/>
        <w:spacing w:before="120" w:after="60" w:line="480" w:lineRule="auto"/>
        <w:jc w:val="left"/>
      </w:pPr>
      <w:r>
        <w:rPr>
          <w:rFonts w:ascii="Times New Roman" w:hAnsi="Times New Roman"/>
          <w:b/>
          <w:i w:val="0"/>
          <w:color w:val="000000"/>
          <w:sz w:val="24"/>
        </w:rPr>
        <w:t>4.4 Antimicrobial Resistance Patterns of *Escherichia coli* Isolates</w:t>
      </w:r>
    </w:p>
    <w:p>
      <w:pPr>
        <w:spacing w:before="0" w:after="120" w:line="480" w:lineRule="auto"/>
        <w:jc w:val="both"/>
      </w:pPr>
      <w:r>
        <w:rPr>
          <w:rFonts w:ascii="Times New Roman" w:hAnsi="Times New Roman"/>
          <w:b w:val="0"/>
          <w:i w:val="0"/>
          <w:sz w:val="24"/>
        </w:rPr>
        <w:t xml:space="preserve">A total of ten distinct antimicrobial resistance (AMR) patterns were identified among the 37 confirmed </w:t>
      </w:r>
      <w:r>
        <w:rPr>
          <w:rFonts w:ascii="Times New Roman" w:hAnsi="Times New Roman"/>
          <w:b w:val="0"/>
          <w:i/>
          <w:sz w:val="24"/>
        </w:rPr>
        <w:t>E. coli</w:t>
      </w:r>
      <w:r>
        <w:rPr>
          <w:rFonts w:ascii="Times New Roman" w:hAnsi="Times New Roman"/>
          <w:b w:val="0"/>
          <w:i w:val="0"/>
          <w:sz w:val="24"/>
        </w:rPr>
        <w:t xml:space="preserve"> isolates (Table 4.3). All isolates were resistant to a minimum of three antibiotic classes, and no isolate was susceptible to all antibiotics tested.</w:t>
      </w:r>
    </w:p>
    <w:p>
      <w:pPr>
        <w:spacing w:before="0" w:after="120" w:line="480" w:lineRule="auto"/>
        <w:jc w:val="both"/>
      </w:pPr>
      <w:r>
        <w:rPr>
          <w:rFonts w:ascii="Times New Roman" w:hAnsi="Times New Roman"/>
          <w:b w:val="0"/>
          <w:i w:val="0"/>
          <w:sz w:val="24"/>
        </w:rPr>
        <w:t>The most prevalent resistance pattern, observed in 19 of the 37 isolates (51.35%), comprised simultaneous resistance to eight antibiotics: ceftriaxone (CRO), tetracycline (TE), gentamicin (CN), trimethoprim-sulfamethoxazole (SXT), chloramphenicol (C), azithromycin (AZM), ciprofloxacin (CIP), and nalidixic acid (NA). This 8-drug resistance pattern spanned five antibiotic classes (3rd-generation cephalosporin, tetracycline, aminoglycoside, folate inhibitor, phenicol, macrolide, and two quinolone agents), underscoring the breadth of multidrug resistance in the majority of isolates.</w:t>
      </w:r>
    </w:p>
    <w:p>
      <w:pPr>
        <w:spacing w:before="0" w:after="120" w:line="480" w:lineRule="auto"/>
        <w:jc w:val="both"/>
      </w:pPr>
      <w:r>
        <w:rPr>
          <w:rFonts w:ascii="Times New Roman" w:hAnsi="Times New Roman"/>
          <w:b w:val="0"/>
          <w:i w:val="0"/>
          <w:sz w:val="24"/>
        </w:rPr>
        <w:t>The second most common pattern involved 7-drug resistance to TE, CN, SXT, C, AZM, CIP, and NA, detected in 9 isolates (24.32%). The remaining 9 isolates were distributed across eight further distinct patterns involving resistance to between 3 and 9 antibiotics. The only isolate resistant to 9 antibiotics (pattern 10) also demonstrated resistance to amoxicillin-clavulanic acid, which was otherwise the antibiotic with the lowest resistance rate. No isolate was resistant to meropenem across any pattern.</w:t>
      </w:r>
    </w:p>
    <w:p>
      <w:pPr>
        <w:spacing w:before="0" w:after="120" w:line="480" w:lineRule="auto"/>
        <w:jc w:val="both"/>
      </w:pPr>
      <w:r>
        <w:rPr>
          <w:rFonts w:ascii="Times New Roman" w:hAnsi="Times New Roman"/>
          <w:b/>
          <w:i w:val="0"/>
          <w:sz w:val="24"/>
        </w:rPr>
        <w:t>Table 4.3: Distinct antimicrobial resistance patterns of *Escherichia coli* isolates from poultry manure in Zaria Metropolis (n =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S/N</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Resistance Pattern</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No. of Drugs</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No. of Isolates</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Proportion (%)</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TE, SXT, AZM</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CRO, TE, CN, SXT,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51.35</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CRO, CN, SXT,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5.40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4</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TE, CN, SXT,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24.32</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5</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TE, SXT,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CN, SXT,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CRO, TE, SXT,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CRO, CN, SXT, C, AZM, CIP</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CRO, TE, CN,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CRO, TE, CN, SXT, AMC, C, AZM, CIP, NA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Total</w:t>
            </w:r>
          </w:p>
        </w:tc>
        <w:tc>
          <w:tcPr>
            <w:tcW w:type="dxa" w:w="1728"/>
          </w:tcPr>
          <w:p>
            <w:pPr>
              <w:spacing w:before="40" w:after="40" w:line="240" w:lineRule="auto"/>
              <w:jc w:val="both"/>
            </w:pPr>
            <w:r>
              <w:rPr>
                <w:rFonts w:ascii="Times New Roman" w:hAnsi="Times New Roman"/>
                <w:sz w:val="22"/>
              </w:rPr>
            </w:r>
          </w:p>
        </w:tc>
        <w:tc>
          <w:tcPr>
            <w:tcW w:type="dxa" w:w="1728"/>
          </w:tcPr>
          <w:p>
            <w:pPr>
              <w:spacing w:before="40" w:after="40" w:line="240" w:lineRule="auto"/>
              <w:jc w:val="both"/>
            </w:pPr>
            <w:r>
              <w:rPr>
                <w:rFonts w:ascii="Times New Roman" w:hAnsi="Times New Roman"/>
                <w:sz w:val="22"/>
              </w:rPr>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37</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100.00</w:t>
            </w:r>
          </w:p>
        </w:tc>
      </w:tr>
    </w:tbl>
    <w:p>
      <w:pPr>
        <w:spacing w:after="120"/>
      </w:pPr>
    </w:p>
    <w:p>
      <w:pPr>
        <w:spacing w:before="0" w:after="120" w:line="480" w:lineRule="auto"/>
        <w:jc w:val="both"/>
      </w:pPr>
      <w:r>
        <w:rPr>
          <w:rFonts w:ascii="Times New Roman" w:hAnsi="Times New Roman"/>
          <w:b w:val="0"/>
          <w:i/>
          <w:sz w:val="24"/>
        </w:rPr>
        <w:t>Key: CRO = Ceftriaxone; TE = Tetracycline; CN = Gentamicin; SXT = Trimethoprim-Sulfamethoxazole; AMC = Amoxicillin-Clavulanic acid; C = Chloramphenicol; AZM = Azithromycin; CIP = Ciprofloxacin; NA = Nalidixic acid</w:t>
      </w:r>
    </w:p>
    <w:p>
      <w:pPr>
        <w:pStyle w:val="Heading3"/>
        <w:spacing w:before="120" w:after="60" w:line="480" w:lineRule="auto"/>
        <w:jc w:val="left"/>
      </w:pPr>
      <w:r>
        <w:rPr>
          <w:rFonts w:ascii="Times New Roman" w:hAnsi="Times New Roman"/>
          <w:b/>
          <w:i w:val="0"/>
          <w:color w:val="000000"/>
          <w:sz w:val="24"/>
        </w:rPr>
        <w:t>4.5 Multiple Antibiotic Resistance (MAR) Indices</w:t>
      </w:r>
    </w:p>
    <w:p>
      <w:pPr>
        <w:spacing w:before="0" w:after="120" w:line="480" w:lineRule="auto"/>
        <w:jc w:val="both"/>
      </w:pPr>
      <w:r>
        <w:rPr>
          <w:rFonts w:ascii="Times New Roman" w:hAnsi="Times New Roman"/>
          <w:b w:val="0"/>
          <w:i w:val="0"/>
          <w:sz w:val="24"/>
        </w:rPr>
        <w:t xml:space="preserve">The Multiple Antibiotic Resistance (MAR) index was calculated for each of the 37 </w:t>
      </w:r>
      <w:r>
        <w:rPr>
          <w:rFonts w:ascii="Times New Roman" w:hAnsi="Times New Roman"/>
          <w:b w:val="0"/>
          <w:i/>
          <w:sz w:val="24"/>
        </w:rPr>
        <w:t>E. coli</w:t>
      </w:r>
      <w:r>
        <w:rPr>
          <w:rFonts w:ascii="Times New Roman" w:hAnsi="Times New Roman"/>
          <w:b w:val="0"/>
          <w:i w:val="0"/>
          <w:sz w:val="24"/>
        </w:rPr>
        <w:t xml:space="preserve"> isolates as the ratio of the number of antibiotics to which the isolate was resistant to the total number of antibiotics tested (10). All 37 isolates (100%) recorded a MAR index exceeding the 0.2 threshold, confirming that all isolates were classified as multidrug resistant and originated from a high-risk antibiotic exposure environment (Table 4.4).</w:t>
      </w:r>
    </w:p>
    <w:p>
      <w:pPr>
        <w:spacing w:before="0" w:after="120" w:line="480" w:lineRule="auto"/>
        <w:jc w:val="both"/>
      </w:pPr>
      <w:r>
        <w:rPr>
          <w:rFonts w:ascii="Times New Roman" w:hAnsi="Times New Roman"/>
          <w:b w:val="0"/>
          <w:i w:val="0"/>
          <w:sz w:val="24"/>
        </w:rPr>
        <w:t>MAR indices ranged from 0.3 (one isolate; resistant to 3 of 10 antibiotics, pattern 1) to 0.9 (one isolate; resistant to 9 of 10 antibiotics, pattern 10). The most frequently recorded MAR index was 0.8, corresponding to resistance to 8 antibiotics, which was observed in 19 isolates (51.35%). A MAR index of 0.7 was recorded for 13 isolates (35.13%) across four resistance patterns (patterns 3, 4, 7, and 9). Three isolates (8.10%) had a MAR index of 0.6 (patterns 5, 6, and 8).</w:t>
      </w:r>
    </w:p>
    <w:p>
      <w:pPr>
        <w:spacing w:before="0" w:after="120" w:line="480" w:lineRule="auto"/>
        <w:jc w:val="both"/>
      </w:pPr>
      <w:r>
        <w:rPr>
          <w:rFonts w:ascii="Times New Roman" w:hAnsi="Times New Roman"/>
          <w:b/>
          <w:i w:val="0"/>
          <w:sz w:val="24"/>
        </w:rPr>
        <w:t>Table 4.4: Multiple Antibiotic Resistance (MAR) index distribution of *Escherichia coli* isolates from poultry manure in Zaria Metropolis (n = 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MAR Index</w:t>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Interpretation</w:t>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No. of Isolates</w:t>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Proportion (%)</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≤0.2</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Low-risk source environment</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0.00</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0.3</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High-risk source; 3 antibiotics</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0.6</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High-risk source; 6 antibiotics</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8.10</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0.7</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High-risk source; 7 antibiotics</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13</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35.13</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0.8</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High-risk source; 8 antibiotics</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19</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51.35</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0.9</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High-risk source; 9 antibiotics</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2.70</w:t>
            </w:r>
          </w:p>
        </w:tc>
      </w:tr>
      <w:tr>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Total (MAR &gt;0.2)</w:t>
            </w:r>
          </w:p>
        </w:tc>
        <w:tc>
          <w:tcPr>
            <w:tcW w:type="dxa" w:w="2160"/>
          </w:tcPr>
          <w:p>
            <w:pPr>
              <w:spacing w:before="40" w:after="40" w:line="240" w:lineRule="auto"/>
              <w:jc w:val="both"/>
            </w:pPr>
            <w:r>
              <w:rPr>
                <w:rFonts w:ascii="Times New Roman" w:hAnsi="Times New Roman"/>
                <w:sz w:val="22"/>
              </w:rPr>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37 (100%)</w:t>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100.00</w:t>
            </w:r>
          </w:p>
        </w:tc>
      </w:tr>
    </w:tbl>
    <w:p>
      <w:pPr>
        <w:spacing w:after="120"/>
      </w:pPr>
    </w:p>
    <w:p>
      <w:pPr>
        <w:pStyle w:val="Heading3"/>
        <w:spacing w:before="120" w:after="60" w:line="480" w:lineRule="auto"/>
        <w:jc w:val="left"/>
      </w:pPr>
      <w:r>
        <w:rPr>
          <w:rFonts w:ascii="Times New Roman" w:hAnsi="Times New Roman"/>
          <w:b/>
          <w:i w:val="0"/>
          <w:color w:val="000000"/>
          <w:sz w:val="24"/>
        </w:rPr>
        <w:t>4.6 Detection of Class I and Class II Integrons</w:t>
      </w:r>
    </w:p>
    <w:p>
      <w:pPr>
        <w:spacing w:before="0" w:after="120" w:line="480" w:lineRule="auto"/>
        <w:jc w:val="both"/>
      </w:pPr>
      <w:r>
        <w:rPr>
          <w:rFonts w:ascii="Times New Roman" w:hAnsi="Times New Roman"/>
          <w:b w:val="0"/>
          <w:i w:val="0"/>
          <w:sz w:val="24"/>
        </w:rPr>
        <w:t xml:space="preserve">All 37 MDR </w:t>
      </w:r>
      <w:r>
        <w:rPr>
          <w:rFonts w:ascii="Times New Roman" w:hAnsi="Times New Roman"/>
          <w:b w:val="0"/>
          <w:i/>
          <w:sz w:val="24"/>
        </w:rPr>
        <w:t>E. coli</w:t>
      </w:r>
      <w:r>
        <w:rPr>
          <w:rFonts w:ascii="Times New Roman" w:hAnsi="Times New Roman"/>
          <w:b w:val="0"/>
          <w:i w:val="0"/>
          <w:sz w:val="24"/>
        </w:rPr>
        <w:t xml:space="preserve"> isolates were subjected to PCR for detection of Class I integrons (using primers CSL1/CSR1; expected amplicon ~1,100 bp) and Class II integrons (using primers described by Goldstein et al., 2001; expected amplicon 233 bp). Results are presented in Table 4.5 and representative gel images are shown in Plate 4.3.</w:t>
      </w:r>
    </w:p>
    <w:p>
      <w:pPr>
        <w:spacing w:before="120" w:after="60" w:line="480" w:lineRule="auto"/>
        <w:jc w:val="left"/>
      </w:pPr>
      <w:r>
        <w:rPr>
          <w:rFonts w:ascii="Times New Roman" w:hAnsi="Times New Roman"/>
          <w:b/>
          <w:i/>
          <w:sz w:val="24"/>
        </w:rPr>
        <w:t>4.6.1 Class I Integron Prevalence</w:t>
      </w:r>
    </w:p>
    <w:p>
      <w:pPr>
        <w:spacing w:before="0" w:after="120" w:line="480" w:lineRule="auto"/>
        <w:jc w:val="both"/>
      </w:pPr>
      <w:r>
        <w:rPr>
          <w:rFonts w:ascii="Times New Roman" w:hAnsi="Times New Roman"/>
          <w:b w:val="0"/>
          <w:i w:val="0"/>
          <w:sz w:val="24"/>
        </w:rPr>
        <w:t xml:space="preserve">Class I integrons were detected in 36 of the 37 MDR </w:t>
      </w:r>
      <w:r>
        <w:rPr>
          <w:rFonts w:ascii="Times New Roman" w:hAnsi="Times New Roman"/>
          <w:b w:val="0"/>
          <w:i/>
          <w:sz w:val="24"/>
        </w:rPr>
        <w:t>E. coli</w:t>
      </w:r>
      <w:r>
        <w:rPr>
          <w:rFonts w:ascii="Times New Roman" w:hAnsi="Times New Roman"/>
          <w:b w:val="0"/>
          <w:i w:val="0"/>
          <w:sz w:val="24"/>
        </w:rPr>
        <w:t xml:space="preserve"> isolates (97.2%). A characteristic amplicon of approximately 1,100 bp was produced on agarose gel electrophoresis in all positive isolates (Plate 4.3). Class I integrons were detected in isolates from all eight vendor locations surveyed. The single Class I integron-negative isolate was from Dan Magaji. Chi-square analysis of the association between vendor location and Class I integron carriage yielded a non-significant result (χ² = 2.429, df = 7, P = 0.932). Due to the very high overall prevalence of Class I integrons (97.2%) and minimum expected cell frequencies well below 5, this test result should be interpreted with extreme caution; the near-universal carriage of Class I integrons precluded meaningful statistical discrimination across locations.</w:t>
      </w:r>
    </w:p>
    <w:p>
      <w:pPr>
        <w:spacing w:before="120" w:after="60" w:line="480" w:lineRule="auto"/>
        <w:jc w:val="left"/>
      </w:pPr>
      <w:r>
        <w:rPr>
          <w:rFonts w:ascii="Times New Roman" w:hAnsi="Times New Roman"/>
          <w:b/>
          <w:i/>
          <w:sz w:val="24"/>
        </w:rPr>
        <w:t>4.6.2 Class II Integron Prevalence</w:t>
      </w:r>
    </w:p>
    <w:p>
      <w:pPr>
        <w:spacing w:before="0" w:after="120" w:line="480" w:lineRule="auto"/>
        <w:jc w:val="both"/>
      </w:pPr>
      <w:r>
        <w:rPr>
          <w:rFonts w:ascii="Times New Roman" w:hAnsi="Times New Roman"/>
          <w:b w:val="0"/>
          <w:i w:val="0"/>
          <w:sz w:val="24"/>
        </w:rPr>
        <w:t xml:space="preserve">Class II integrons were detected in 28 of the 37 MDR </w:t>
      </w:r>
      <w:r>
        <w:rPr>
          <w:rFonts w:ascii="Times New Roman" w:hAnsi="Times New Roman"/>
          <w:b w:val="0"/>
          <w:i/>
          <w:sz w:val="24"/>
        </w:rPr>
        <w:t>E. coli</w:t>
      </w:r>
      <w:r>
        <w:rPr>
          <w:rFonts w:ascii="Times New Roman" w:hAnsi="Times New Roman"/>
          <w:b w:val="0"/>
          <w:i w:val="0"/>
          <w:sz w:val="24"/>
        </w:rPr>
        <w:t xml:space="preserve"> isolates (75.6%). A characteristic amplicon of approximately 233 bp was produced in positive isolates on agarose gel electrophoresis (Plate 4.3). Class II integrons were detected in isolates from seven of the eight vendor locations. No Class II integron-positive isolate was detected among the three </w:t>
      </w:r>
      <w:r>
        <w:rPr>
          <w:rFonts w:ascii="Times New Roman" w:hAnsi="Times New Roman"/>
          <w:b w:val="0"/>
          <w:i/>
          <w:sz w:val="24"/>
        </w:rPr>
        <w:t>E. coli</w:t>
      </w:r>
      <w:r>
        <w:rPr>
          <w:rFonts w:ascii="Times New Roman" w:hAnsi="Times New Roman"/>
          <w:b w:val="0"/>
          <w:i w:val="0"/>
          <w:sz w:val="24"/>
        </w:rPr>
        <w:t xml:space="preserve"> isolates from Dogarawa; at all other locations at least one isolate carried the Class II integron. Chi-square analysis of the association between vendor location and Class II integron carriage was not statistically significant (χ² = 12.718, df = 7, P = 0.079). As with the other tests, minimum expected cell frequencies were below 5 in several cells and this result should be interpreted cautiously.</w:t>
      </w:r>
    </w:p>
    <w:p>
      <w:pPr>
        <w:spacing w:before="120" w:after="60" w:line="480" w:lineRule="auto"/>
        <w:jc w:val="left"/>
      </w:pPr>
      <w:r>
        <w:rPr>
          <w:rFonts w:ascii="Times New Roman" w:hAnsi="Times New Roman"/>
          <w:b/>
          <w:i/>
          <w:sz w:val="24"/>
        </w:rPr>
        <w:t>4.6.3 Co-carriage of Class I and Class II Integrons</w:t>
      </w:r>
    </w:p>
    <w:p>
      <w:pPr>
        <w:spacing w:before="0" w:after="120" w:line="480" w:lineRule="auto"/>
        <w:jc w:val="both"/>
      </w:pPr>
      <w:r>
        <w:rPr>
          <w:rFonts w:ascii="Times New Roman" w:hAnsi="Times New Roman"/>
          <w:b w:val="0"/>
          <w:i w:val="0"/>
          <w:sz w:val="24"/>
        </w:rPr>
        <w:t xml:space="preserve">Of the 37 MDR </w:t>
      </w:r>
      <w:r>
        <w:rPr>
          <w:rFonts w:ascii="Times New Roman" w:hAnsi="Times New Roman"/>
          <w:b w:val="0"/>
          <w:i/>
          <w:sz w:val="24"/>
        </w:rPr>
        <w:t>E. coli</w:t>
      </w:r>
      <w:r>
        <w:rPr>
          <w:rFonts w:ascii="Times New Roman" w:hAnsi="Times New Roman"/>
          <w:b w:val="0"/>
          <w:i w:val="0"/>
          <w:sz w:val="24"/>
        </w:rPr>
        <w:t xml:space="preserve"> isolates, 27 (73.0%) were positive for both Class I and Class II integrons simultaneously, representing co-carriage of both integron classes within the same isolate. Nine isolates (24.3%) carried Class I integron only (Class I positive, Class II negative), and one isolate (2.7%) was negative for both integron classes (the single Dan Magaji isolate that was Class I negative was also Class II negative by default). No isolate was Class II integron-positive while Class I integron-negative.</w:t>
      </w:r>
    </w:p>
    <w:p>
      <w:pPr>
        <w:spacing w:before="0" w:after="120" w:line="480" w:lineRule="auto"/>
        <w:jc w:val="both"/>
      </w:pPr>
      <w:r>
        <w:rPr>
          <w:rFonts w:ascii="Times New Roman" w:hAnsi="Times New Roman"/>
          <w:b/>
          <w:i w:val="0"/>
          <w:sz w:val="24"/>
        </w:rPr>
        <w:t>Table 4.5: Detection of Class I and Class II integrons among MDR *Escherichia coli* isolates by vendor location (n =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Location</w:t>
            </w:r>
          </w:p>
        </w:tc>
        <w:tc>
          <w:tcPr>
            <w:tcW w:type="dxa" w:w="1728"/>
          </w:tcPr>
          <w:p>
            <w:pPr>
              <w:spacing w:before="40" w:after="40" w:line="240" w:lineRule="auto"/>
              <w:jc w:val="both"/>
            </w:pPr>
            <w:r>
              <w:rPr>
                <w:rFonts w:ascii="Times New Roman" w:hAnsi="Times New Roman"/>
                <w:sz w:val="22"/>
              </w:rPr>
            </w:r>
            <w:r>
              <w:rPr>
                <w:rFonts w:ascii="Times New Roman" w:hAnsi="Times New Roman"/>
                <w:b/>
                <w:i/>
                <w:sz w:val="22"/>
              </w:rPr>
              <w:t>E. coli</w:t>
            </w:r>
            <w:r>
              <w:rPr>
                <w:rFonts w:ascii="Times New Roman" w:hAnsi="Times New Roman"/>
                <w:b/>
                <w:i w:val="0"/>
                <w:sz w:val="22"/>
              </w:rPr>
              <w:t xml:space="preserve"> Confirmed</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MDR Isolates</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Class I (+) n (%)</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Class II (+) n (%)</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Dan Magaji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11</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10 (90.9)</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9 (81.8)</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Dakaci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 (100.0)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5 (83.3)</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Jushin Ciki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 (100.0)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 (100.0)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Dembo</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8 (100.0)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6 (75.0)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Zabi</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 (100.0)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1 (50.0)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Dogarawa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3 (100.0)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0 (0.0)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Samaru</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 (100.0)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 (100.0)</w:t>
            </w:r>
          </w:p>
        </w:tc>
      </w:tr>
      <w:tr>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Basawa</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 (100.0)</w:t>
            </w:r>
          </w:p>
        </w:tc>
        <w:tc>
          <w:tcPr>
            <w:tcW w:type="dxa" w:w="1728"/>
          </w:tcPr>
          <w:p>
            <w:pPr>
              <w:spacing w:before="40" w:after="40" w:line="240" w:lineRule="auto"/>
              <w:jc w:val="both"/>
            </w:pPr>
            <w:r>
              <w:rPr>
                <w:rFonts w:ascii="Times New Roman" w:hAnsi="Times New Roman"/>
                <w:sz w:val="22"/>
              </w:rPr>
            </w:r>
            <w:r>
              <w:rPr>
                <w:rFonts w:ascii="Times New Roman" w:hAnsi="Times New Roman"/>
                <w:b w:val="0"/>
                <w:i w:val="0"/>
                <w:sz w:val="22"/>
              </w:rPr>
              <w:t>2 (100.0)</w:t>
            </w:r>
          </w:p>
        </w:tc>
      </w:tr>
      <w:tr>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Total</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37</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37</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36 (97.2%)</w:t>
            </w:r>
          </w:p>
        </w:tc>
        <w:tc>
          <w:tcPr>
            <w:tcW w:type="dxa" w:w="1728"/>
          </w:tcPr>
          <w:p>
            <w:pPr>
              <w:spacing w:before="40" w:after="40" w:line="240" w:lineRule="auto"/>
              <w:jc w:val="both"/>
            </w:pPr>
            <w:r>
              <w:rPr>
                <w:rFonts w:ascii="Times New Roman" w:hAnsi="Times New Roman"/>
                <w:sz w:val="22"/>
              </w:rPr>
            </w:r>
            <w:r>
              <w:rPr>
                <w:rFonts w:ascii="Times New Roman" w:hAnsi="Times New Roman"/>
                <w:b/>
                <w:i w:val="0"/>
                <w:sz w:val="22"/>
              </w:rPr>
              <w:t>28 (75.6%)</w:t>
            </w:r>
          </w:p>
        </w:tc>
      </w:tr>
    </w:tbl>
    <w:p>
      <w:pPr>
        <w:spacing w:after="120"/>
      </w:pPr>
    </w:p>
    <w:p>
      <w:pPr>
        <w:spacing w:before="0" w:after="120" w:line="480" w:lineRule="auto"/>
        <w:jc w:val="both"/>
      </w:pPr>
      <w:r>
        <w:rPr>
          <w:rFonts w:ascii="Times New Roman" w:hAnsi="Times New Roman"/>
          <w:b w:val="0"/>
          <w:i/>
          <w:sz w:val="24"/>
        </w:rPr>
        <w:t>Chi-square (Class I by location): χ² = 2.429, df = 7, P = 0.932 (not significant; expected cells &lt;5)</w:t>
      </w:r>
      <w:r>
        <w:rPr>
          <w:rFonts w:ascii="Times New Roman" w:hAnsi="Times New Roman"/>
          <w:b w:val="0"/>
          <w:i w:val="0"/>
          <w:sz w:val="24"/>
        </w:rPr>
        <w:t xml:space="preserve"> </w:t>
      </w:r>
      <w:r>
        <w:rPr>
          <w:rFonts w:ascii="Times New Roman" w:hAnsi="Times New Roman"/>
          <w:b w:val="0"/>
          <w:i/>
          <w:sz w:val="24"/>
        </w:rPr>
        <w:t>Chi-square (Class II by location): χ² = 12.718, df = 7, P = 0.079 (not significant; expected cells &lt;5)</w:t>
      </w: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[Plate 4.3: Agarose gel electrophoresis showing PCR amplification products for Class I integron (*intI1*; ~1,100 bp) and Class II integron (*intI2*; ~233 bp) from MDR *Escherichia coli* isolates. Lane M = 100 bp DNA ladder; Lanes 1–[N] = isolate numbers; Lane [N+1] = negative control; Lane [N+2] = positive control. Insert image from `Results/gel_images/` with accurate lane contents and band descriptions.]</w:t>
      </w:r>
    </w:p>
    <w:p>
      <w:pPr>
        <w:pStyle w:val="Heading3"/>
        <w:spacing w:before="120" w:after="60" w:line="480" w:lineRule="auto"/>
        <w:jc w:val="left"/>
      </w:pPr>
      <w:r>
        <w:rPr>
          <w:rFonts w:ascii="Times New Roman" w:hAnsi="Times New Roman"/>
          <w:b/>
          <w:i w:val="0"/>
          <w:color w:val="000000"/>
          <w:sz w:val="24"/>
        </w:rPr>
        <w:t>Summary of Chapter 4 Results</w:t>
      </w:r>
    </w:p>
    <w:p>
      <w:pPr>
        <w:spacing w:before="0" w:after="120" w:line="480" w:lineRule="auto"/>
        <w:jc w:val="both"/>
      </w:pPr>
      <w:r>
        <w:rPr>
          <w:rFonts w:ascii="Times New Roman" w:hAnsi="Times New Roman"/>
          <w:b w:val="0"/>
          <w:i w:val="0"/>
          <w:sz w:val="24"/>
        </w:rPr>
        <w:t>The key findings of this study are summarised as follows:</w:t>
      </w:r>
    </w:p>
    <w:p>
      <w:pPr>
        <w:pStyle w:val="ListNumber"/>
        <w:spacing w:before="40" w:after="40" w:line="240" w:lineRule="auto"/>
        <w:jc w:val="both"/>
      </w:pPr>
      <w:r>
        <w:rPr>
          <w:rFonts w:ascii="Times New Roman" w:hAnsi="Times New Roman"/>
          <w:b w:val="0"/>
          <w:i w:val="0"/>
          <w:sz w:val="24"/>
        </w:rPr>
        <w:t xml:space="preserve">Of 152 poultry manure samples from eight vendor locations in Zaria Metropolis, 37 (24.34%) yielded confirmed </w:t>
      </w:r>
      <w:r>
        <w:rPr>
          <w:rFonts w:ascii="Times New Roman" w:hAnsi="Times New Roman"/>
          <w:b w:val="0"/>
          <w:i/>
          <w:sz w:val="24"/>
        </w:rPr>
        <w:t>E. coli</w:t>
      </w:r>
      <w:r>
        <w:rPr>
          <w:rFonts w:ascii="Times New Roman" w:hAnsi="Times New Roman"/>
          <w:b w:val="0"/>
          <w:i w:val="0"/>
          <w:sz w:val="24"/>
        </w:rPr>
        <w:t xml:space="preserve"> isolates on EMB agar, biochemical testing, and 16S rRNA PCR.</w:t>
      </w:r>
    </w:p>
    <w:p>
      <w:pPr>
        <w:pStyle w:val="ListNumber"/>
        <w:spacing w:before="40" w:after="40" w:line="240" w:lineRule="auto"/>
        <w:jc w:val="both"/>
      </w:pPr>
      <w:r>
        <w:rPr>
          <w:rFonts w:ascii="Times New Roman" w:hAnsi="Times New Roman"/>
          <w:b w:val="0"/>
          <w:i w:val="0"/>
          <w:sz w:val="24"/>
        </w:rPr>
        <w:t xml:space="preserve">All 37 confirmed </w:t>
      </w:r>
      <w:r>
        <w:rPr>
          <w:rFonts w:ascii="Times New Roman" w:hAnsi="Times New Roman"/>
          <w:b w:val="0"/>
          <w:i/>
          <w:sz w:val="24"/>
        </w:rPr>
        <w:t>E. coli</w:t>
      </w:r>
      <w:r>
        <w:rPr>
          <w:rFonts w:ascii="Times New Roman" w:hAnsi="Times New Roman"/>
          <w:b w:val="0"/>
          <w:i w:val="0"/>
          <w:sz w:val="24"/>
        </w:rPr>
        <w:t xml:space="preserve"> isolates (100%) were multidrug resistant, with MAR indices ranging from 0.3 to 0.9, all exceeding the 0.2 threshold for high-risk antibiotic exposure environments.</w:t>
      </w:r>
    </w:p>
    <w:p>
      <w:pPr>
        <w:pStyle w:val="ListNumber"/>
        <w:spacing w:before="40" w:after="40" w:line="240" w:lineRule="auto"/>
        <w:jc w:val="both"/>
      </w:pPr>
      <w:r>
        <w:rPr>
          <w:rFonts w:ascii="Times New Roman" w:hAnsi="Times New Roman"/>
          <w:b w:val="0"/>
          <w:i w:val="0"/>
          <w:sz w:val="24"/>
        </w:rPr>
        <w:t>Ten distinct antimicrobial resistance patterns were identified; the predominant pattern (51.35% of isolates) involved simultaneous resistance to eight antibiotic classes.</w:t>
      </w:r>
    </w:p>
    <w:p>
      <w:pPr>
        <w:pStyle w:val="ListNumber"/>
        <w:spacing w:before="40" w:after="40" w:line="240" w:lineRule="auto"/>
        <w:jc w:val="both"/>
      </w:pPr>
      <w:r>
        <w:rPr>
          <w:rFonts w:ascii="Times New Roman" w:hAnsi="Times New Roman"/>
          <w:b w:val="0"/>
          <w:i w:val="0"/>
          <w:sz w:val="24"/>
        </w:rPr>
        <w:t>All isolates were susceptible to meropenem and resistant to azithromycin.</w:t>
      </w:r>
    </w:p>
    <w:p>
      <w:pPr>
        <w:pStyle w:val="ListNumber"/>
        <w:spacing w:before="40" w:after="40" w:line="240" w:lineRule="auto"/>
        <w:jc w:val="both"/>
      </w:pPr>
      <w:r>
        <w:rPr>
          <w:rFonts w:ascii="Times New Roman" w:hAnsi="Times New Roman"/>
          <w:b w:val="0"/>
          <w:i w:val="0"/>
          <w:sz w:val="24"/>
        </w:rPr>
        <w:t>Class I integrons were detected in 36 of 37 isolates (97.2%), and Class II integrons in 28 of 37 isolates (75.6%).</w:t>
      </w:r>
    </w:p>
    <w:p>
      <w:pPr>
        <w:pStyle w:val="ListNumber"/>
        <w:spacing w:before="40" w:after="40" w:line="240" w:lineRule="auto"/>
        <w:jc w:val="both"/>
      </w:pPr>
      <w:r>
        <w:rPr>
          <w:rFonts w:ascii="Times New Roman" w:hAnsi="Times New Roman"/>
          <w:b w:val="0"/>
          <w:i w:val="0"/>
          <w:sz w:val="24"/>
        </w:rPr>
        <w:t xml:space="preserve">No statistically significant difference in </w:t>
      </w:r>
      <w:r>
        <w:rPr>
          <w:rFonts w:ascii="Times New Roman" w:hAnsi="Times New Roman"/>
          <w:b w:val="0"/>
          <w:i/>
          <w:sz w:val="24"/>
        </w:rPr>
        <w:t>E. coli</w:t>
      </w:r>
      <w:r>
        <w:rPr>
          <w:rFonts w:ascii="Times New Roman" w:hAnsi="Times New Roman"/>
          <w:b w:val="0"/>
          <w:i w:val="0"/>
          <w:sz w:val="24"/>
        </w:rPr>
        <w:t xml:space="preserve"> prevalence, Class I integron carriage, or Class II integron carriage was detected across the eight vendor locations, though caution is warranted given small per-location sample sizes.</w:t>
      </w:r>
    </w:p>
    <w:p>
      <w:pPr>
        <w:pStyle w:val="Heading3"/>
        <w:spacing w:before="120" w:after="60" w:line="480" w:lineRule="auto"/>
        <w:jc w:val="left"/>
      </w:pPr>
      <w:r>
        <w:rPr>
          <w:rFonts w:ascii="Times New Roman" w:hAnsi="Times New Roman"/>
          <w:b/>
          <w:i w:val="0"/>
          <w:color w:val="000000"/>
          <w:sz w:val="24"/>
        </w:rPr>
        <w:t>References for Chapter 4</w:t>
      </w:r>
    </w:p>
    <w:p>
      <w:pPr>
        <w:spacing w:before="0" w:after="120" w:line="480" w:lineRule="auto"/>
        <w:jc w:val="both"/>
      </w:pPr>
      <w:r>
        <w:rPr>
          <w:rFonts w:ascii="Times New Roman" w:hAnsi="Times New Roman"/>
          <w:b w:val="0"/>
          <w:i/>
          <w:sz w:val="24"/>
        </w:rPr>
        <w:t>(Full reference list in Chapter 8: References and Appendices)</w:t>
      </w:r>
    </w:p>
    <w:p>
      <w:pPr>
        <w:spacing w:before="0" w:after="120" w:line="480" w:lineRule="auto"/>
        <w:jc w:val="both"/>
      </w:pPr>
      <w:r>
        <w:rPr>
          <w:rFonts w:ascii="Times New Roman" w:hAnsi="Times New Roman"/>
          <w:b/>
          <w:i w:val="0"/>
          <w:sz w:val="24"/>
        </w:rPr>
        <w:t>In-text citations used in this chapter:</w:t>
      </w:r>
    </w:p>
    <w:p>
      <w:pPr>
        <w:pStyle w:val="ListBullet"/>
        <w:spacing w:before="40" w:after="40" w:line="240" w:lineRule="auto"/>
        <w:jc w:val="both"/>
      </w:pPr>
      <w:r>
        <w:rPr>
          <w:rFonts w:ascii="Times New Roman" w:hAnsi="Times New Roman"/>
          <w:b w:val="0"/>
          <w:i w:val="0"/>
          <w:sz w:val="24"/>
        </w:rPr>
        <w:t>CLSI (2024) ⚑: standards document</w:t>
      </w:r>
    </w:p>
    <w:p>
      <w:pPr>
        <w:pStyle w:val="ListBullet"/>
        <w:spacing w:before="40" w:after="40" w:line="240" w:lineRule="auto"/>
        <w:jc w:val="both"/>
      </w:pPr>
      <w:r>
        <w:rPr>
          <w:rFonts w:ascii="Times New Roman" w:hAnsi="Times New Roman"/>
          <w:b w:val="0"/>
          <w:i w:val="0"/>
          <w:sz w:val="24"/>
        </w:rPr>
        <w:t xml:space="preserve">Fonseca et al. (2005): </w:t>
      </w:r>
      <w:r>
        <w:rPr>
          <w:rFonts w:ascii="Times New Roman" w:hAnsi="Times New Roman"/>
          <w:b w:val="0"/>
          <w:i/>
          <w:sz w:val="24"/>
        </w:rPr>
        <w:t>Fonseca2005_intgr.pdf</w:t>
      </w:r>
    </w:p>
    <w:p>
      <w:pPr>
        <w:pStyle w:val="ListBullet"/>
        <w:spacing w:before="40" w:after="40" w:line="240" w:lineRule="auto"/>
        <w:jc w:val="both"/>
      </w:pPr>
      <w:r>
        <w:rPr>
          <w:rFonts w:ascii="Times New Roman" w:hAnsi="Times New Roman"/>
          <w:b w:val="0"/>
          <w:i w:val="0"/>
          <w:sz w:val="24"/>
        </w:rPr>
        <w:t xml:space="preserve">Goldstein et al. (2001): </w:t>
      </w:r>
      <w:r>
        <w:rPr>
          <w:rFonts w:ascii="Times New Roman" w:hAnsi="Times New Roman"/>
          <w:b w:val="0"/>
          <w:i/>
          <w:sz w:val="24"/>
        </w:rPr>
        <w:t>Goldstein2001.pdf</w:t>
      </w:r>
    </w:p>
    <w:p>
      <w:pPr>
        <w:pStyle w:val="ListBullet"/>
        <w:spacing w:before="40" w:after="40" w:line="240" w:lineRule="auto"/>
        <w:jc w:val="both"/>
      </w:pPr>
      <w:r>
        <w:rPr>
          <w:rFonts w:ascii="Times New Roman" w:hAnsi="Times New Roman"/>
          <w:b w:val="0"/>
          <w:i w:val="0"/>
          <w:sz w:val="24"/>
        </w:rPr>
        <w:t>Lane (1991) ⚑: primer reference</w:t>
      </w:r>
    </w:p>
    <w:p>
      <w:pPr>
        <w:pStyle w:val="ListBullet"/>
        <w:spacing w:before="40" w:after="40" w:line="240" w:lineRule="auto"/>
        <w:jc w:val="both"/>
      </w:pPr>
      <w:r>
        <w:rPr>
          <w:rFonts w:ascii="Times New Roman" w:hAnsi="Times New Roman"/>
          <w:b w:val="0"/>
          <w:i w:val="0"/>
          <w:sz w:val="24"/>
        </w:rPr>
        <w:t xml:space="preserve">Roe &amp; Pillai (2003): </w:t>
      </w:r>
      <w:r>
        <w:rPr>
          <w:rFonts w:ascii="Times New Roman" w:hAnsi="Times New Roman"/>
          <w:b w:val="0"/>
          <w:i/>
          <w:sz w:val="24"/>
        </w:rPr>
        <w:t>Roe2003.pdf</w:t>
      </w:r>
    </w:p>
    <w:p>
      <w:r>
        <w:br w:type="page"/>
      </w:r>
    </w:p>
    <w:p>
      <w:pPr>
        <w:pStyle w:val="Heading1"/>
        <w:spacing w:before="240" w:after="120" w:line="480" w:lineRule="auto"/>
        <w:jc w:val="center"/>
      </w:pPr>
      <w:r>
        <w:rPr>
          <w:rFonts w:ascii="Times New Roman" w:hAnsi="Times New Roman"/>
          <w:b/>
          <w:i w:val="0"/>
          <w:color w:val="000000"/>
          <w:sz w:val="28"/>
        </w:rPr>
        <w:t>CHAPTER FIVE</w:t>
      </w:r>
    </w:p>
    <w:p>
      <w:pPr>
        <w:pStyle w:val="Heading2"/>
        <w:spacing w:before="240" w:after="120" w:line="480" w:lineRule="auto"/>
        <w:jc w:val="left"/>
      </w:pPr>
      <w:r>
        <w:rPr>
          <w:rFonts w:ascii="Times New Roman" w:hAnsi="Times New Roman"/>
          <w:b/>
          <w:i w:val="0"/>
          <w:color w:val="000000"/>
          <w:sz w:val="24"/>
        </w:rPr>
        <w:t>DISCUSSION</w:t>
      </w:r>
    </w:p>
    <w:p>
      <w:pPr>
        <w:spacing w:before="0" w:after="120" w:line="480" w:lineRule="auto"/>
        <w:jc w:val="both"/>
      </w:pPr>
      <w:r>
        <w:rPr>
          <w:rFonts w:ascii="Times New Roman" w:hAnsi="Times New Roman"/>
          <w:b w:val="0"/>
          <w:i w:val="0"/>
          <w:sz w:val="24"/>
        </w:rPr>
        <w:t xml:space="preserve">The present study investigated the prevalence of multidrug-resistant </w:t>
      </w:r>
      <w:r>
        <w:rPr>
          <w:rFonts w:ascii="Times New Roman" w:hAnsi="Times New Roman"/>
          <w:b w:val="0"/>
          <w:i/>
          <w:sz w:val="24"/>
        </w:rPr>
        <w:t>Escherichia coli</w:t>
      </w:r>
      <w:r>
        <w:rPr>
          <w:rFonts w:ascii="Times New Roman" w:hAnsi="Times New Roman"/>
          <w:b w:val="0"/>
          <w:i w:val="0"/>
          <w:sz w:val="24"/>
        </w:rPr>
        <w:t xml:space="preserve"> bearing Class I and Class II integrons in commercial poultry manure obtained from vendors in Zaria Metropolis, Nigeria. The findings are discussed in the context of existing published literature, with particular emphasis on comparisons with studies from Nigeria, West Africa, and comparable settings globally. Tense convention: findings from Chapter 4 (own results) are reported in the past tense; interpretive statements and reference to current scientific understanding are in the present tense.</w:t>
      </w:r>
    </w:p>
    <w:p>
      <w:pPr>
        <w:pStyle w:val="Heading3"/>
        <w:spacing w:before="120" w:after="60" w:line="480" w:lineRule="auto"/>
        <w:jc w:val="left"/>
      </w:pPr>
      <w:r>
        <w:rPr>
          <w:rFonts w:ascii="Times New Roman" w:hAnsi="Times New Roman"/>
          <w:b/>
          <w:i w:val="0"/>
          <w:color w:val="000000"/>
          <w:sz w:val="24"/>
        </w:rPr>
        <w:t>5.1 Prevalence of *Escherichia coli* in Poultry Manure from Vendors</w:t>
      </w:r>
    </w:p>
    <w:p>
      <w:pPr>
        <w:spacing w:before="0" w:after="120" w:line="480" w:lineRule="auto"/>
        <w:jc w:val="both"/>
      </w:pPr>
      <w:r>
        <w:rPr>
          <w:rFonts w:ascii="Times New Roman" w:hAnsi="Times New Roman"/>
          <w:b w:val="0"/>
          <w:i w:val="0"/>
          <w:sz w:val="24"/>
        </w:rPr>
        <w:t xml:space="preserve">Of the 152 poultry manure samples processed in this study, 37 (24.34%) yielded confirmed </w:t>
      </w:r>
      <w:r>
        <w:rPr>
          <w:rFonts w:ascii="Times New Roman" w:hAnsi="Times New Roman"/>
          <w:b w:val="0"/>
          <w:i/>
          <w:sz w:val="24"/>
        </w:rPr>
        <w:t>Escherichia coli</w:t>
      </w:r>
      <w:r>
        <w:rPr>
          <w:rFonts w:ascii="Times New Roman" w:hAnsi="Times New Roman"/>
          <w:b w:val="0"/>
          <w:i w:val="0"/>
          <w:sz w:val="24"/>
        </w:rPr>
        <w:t xml:space="preserve"> following a three-step identification protocol comprising culture on Eosin Methylene Blue (EMB) agar, standard biochemical testing, and PCR amplification of the 16S rRNA gene. This prevalence figure situates the current study within a well-established body of literature documenting E. coli as a consistent constituent of commercial poultry manure and associated agricultural environments across diverse geographic settings.</w:t>
      </w:r>
    </w:p>
    <w:p>
      <w:pPr>
        <w:spacing w:before="0" w:after="120" w:line="480" w:lineRule="auto"/>
        <w:jc w:val="both"/>
      </w:pPr>
      <w:r>
        <w:rPr>
          <w:rFonts w:ascii="Times New Roman" w:hAnsi="Times New Roman"/>
          <w:b w:val="0"/>
          <w:i w:val="0"/>
          <w:sz w:val="24"/>
        </w:rPr>
        <w:t>The prevalence of 24.34% observed in this study is broadly consistent with findings from analogous investigations in sub-Saharan Africa and other low- and middle-income regions. Ngogang et al. (2021) documented E. coli contamination in chicken litter manure sold by vendors in an urban setting in Cameroon, reporting E. coli presence at multiple vendor locations with prevalence patterns comparable to those observed in the current study. Similarly, Moffo et al. (2021) detected E. coli resistant to critically important antimicrobials in poultry litter from Cameroonian farms and markets, underscoring that vendor-traded litter in Central and West Africa harbours E. coli at frequencies sufficient to represent a public health risk. In Nigeria specifically, Agusi et al. (2024) reported a high prevalence of MDR E. coli from poultry samples in Jos, a northern Nigerian city with comparable poultry production characteristics to Zaria, while Yakubu et al. (2020) isolated MDR E. coli from livestock in Kaduna State, the same geopolitical zone. Afunwa et al. (2020) documented Gram-negative bacteria with MAR indices exceeding 0.2 from bird droppings in commercial poultries in Enugu, Nigeria, confirming that poultry production environments across diverse Nigerian states consistently generate E. coli populations with signatures of high prior antibiotic exposure. Okoye et al. (2025) detected MDR E. coli O157:H7 from poultry faeces at live bird markets in Lagos, underscoring that Nigerian poultry marketing settings, whether retail carcass markets or manure vendor markets, are sources of MDR E. coli with direct public health significance. Abebe et al. (2023) reported E. coli O157:H7 with significant AMR patterns from bovine-origin foods in Ethiopia, providing regional evidence that food-chain E. coli AMR is a shared challenge across sub-Saharan Africa that transcends national boundaries. In Zaria itself, Ejeh et al. (2017) previously documented E. coli with MAR indices exceeding 0.2 from broilers and local chickens sold along roadsides, establishing the presence of resistant E. coli in the local poultry marketing chain; however, that study focused on retail poultry carcasses rather than vendor-sold manure, and did not employ PCR confirmation of isolate identity.</w:t>
      </w:r>
    </w:p>
    <w:p>
      <w:pPr>
        <w:spacing w:before="0" w:after="120" w:line="480" w:lineRule="auto"/>
        <w:jc w:val="both"/>
      </w:pPr>
      <w:r>
        <w:rPr>
          <w:rFonts w:ascii="Times New Roman" w:hAnsi="Times New Roman"/>
          <w:b w:val="0"/>
          <w:i w:val="0"/>
          <w:sz w:val="24"/>
        </w:rPr>
        <w:t>It is noteworthy that 88 of the 152 samples (57.89%) yielded colonies with the characteristic metallic green sheen on EMB agar that is presumptive for E. coli, yet only 37 (24.34%) were ultimately confirmed as E. coli through biochemical and molecular tests. The discrepancy between presumptive culture results and confirmed identity reflects the well-recognized limitation of EMB agar as a selective-differential medium: certain other Gram-negative organisms, particularly other coliforms and members of the Enterobacteriaceae, can produce colonies with similar morphology on EMB, particularly when grown from complex environmental matrices such as poultry manure (Cheesbrough, 2006). The multi-step confirmation approach employed in this study, culminating in 16S rRNA PCR, is therefore critical to avoiding overestimation of E. coli prevalence in environmental surveillance studies, and the 24.34% confirmed prevalence reported here represents a more conservative and reliable estimate than a culture-only approach would have yielded.</w:t>
      </w:r>
    </w:p>
    <w:p>
      <w:pPr>
        <w:spacing w:before="0" w:after="120" w:line="480" w:lineRule="auto"/>
        <w:jc w:val="both"/>
      </w:pPr>
      <w:r>
        <w:rPr>
          <w:rFonts w:ascii="Times New Roman" w:hAnsi="Times New Roman"/>
          <w:b w:val="0"/>
          <w:i w:val="0"/>
          <w:sz w:val="24"/>
        </w:rPr>
        <w:t>The variation in E. coli prevalence across vendor locations, ranging from 16.6% at Zabi, Samaru, and Basawa to 31.4% at Dan Magaji, was not statistically significant (χ² = 2.240, df = 7, P = 0.945). While expected cell frequencies below 5 in the contingency table require that this result be interpreted cautiously, the lack of significant inter-location variation is epidemiologically interpretable: all eight vendor locations draw their litter supply from commercial poultry operations within the same metropolitan area, are subject to similar ambient temperature and storage conditions, and operate in an environment characterized by pervasive antibiotic use in the local poultry sector (Oluwasile et al., 2014). The broadly similar E. coli prevalence across locations therefore likely reflects the relatively uniform AMR exposure context of commercial poultry manure across Zaria Metropolis, rather than location-specific practices.</w:t>
      </w:r>
    </w:p>
    <w:p>
      <w:pPr>
        <w:pStyle w:val="Heading3"/>
        <w:spacing w:before="120" w:after="60" w:line="480" w:lineRule="auto"/>
        <w:jc w:val="left"/>
      </w:pPr>
      <w:r>
        <w:rPr>
          <w:rFonts w:ascii="Times New Roman" w:hAnsi="Times New Roman"/>
          <w:b/>
          <w:i w:val="0"/>
          <w:color w:val="000000"/>
          <w:sz w:val="24"/>
        </w:rPr>
        <w:t>5.2 Antibiotic Susceptibility Profile of *E. coli* Isolates</w:t>
      </w:r>
    </w:p>
    <w:p>
      <w:pPr>
        <w:spacing w:before="0" w:after="120" w:line="480" w:lineRule="auto"/>
        <w:jc w:val="both"/>
      </w:pPr>
      <w:r>
        <w:rPr>
          <w:rFonts w:ascii="Times New Roman" w:hAnsi="Times New Roman"/>
          <w:b w:val="0"/>
          <w:i w:val="0"/>
          <w:sz w:val="24"/>
        </w:rPr>
        <w:t xml:space="preserve">The antibiotic susceptibility profile of the 37 confirmed </w:t>
      </w:r>
      <w:r>
        <w:rPr>
          <w:rFonts w:ascii="Times New Roman" w:hAnsi="Times New Roman"/>
          <w:b w:val="0"/>
          <w:i/>
          <w:sz w:val="24"/>
        </w:rPr>
        <w:t>E. coli</w:t>
      </w:r>
      <w:r>
        <w:rPr>
          <w:rFonts w:ascii="Times New Roman" w:hAnsi="Times New Roman"/>
          <w:b w:val="0"/>
          <w:i w:val="0"/>
          <w:sz w:val="24"/>
        </w:rPr>
        <w:t xml:space="preserve"> isolates revealed a pattern of extensive multidrug resistance consistent with, and in some respects exceeding, the resistance burdens documented in comparable studies of poultry-associated E. coli in Nigeria and the broader West African region.</w:t>
      </w:r>
    </w:p>
    <w:p>
      <w:pPr>
        <w:spacing w:before="0" w:after="120" w:line="480" w:lineRule="auto"/>
        <w:jc w:val="both"/>
      </w:pPr>
      <w:r>
        <w:rPr>
          <w:rFonts w:ascii="Times New Roman" w:hAnsi="Times New Roman"/>
          <w:b/>
          <w:i w:val="0"/>
          <w:sz w:val="24"/>
        </w:rPr>
        <w:t>Meropenem.</w:t>
      </w:r>
      <w:r>
        <w:rPr>
          <w:rFonts w:ascii="Times New Roman" w:hAnsi="Times New Roman"/>
          <w:b w:val="0"/>
          <w:i w:val="0"/>
          <w:sz w:val="24"/>
        </w:rPr>
        <w:t xml:space="preserve"> All 37 isolates (100%) were susceptible to meropenem, the last-resort carbapenem antibiotic included in the testing panel. This finding is significant in that it indicates the preservation of carbapenem efficacy against E. coli from this environmental niche in Zaria, at least as a phenotypic characteristic detectable by standard disk diffusion. It is important to note, however, that susceptibility to meropenem by disk diffusion does not exclude the possibility of carbapenemase gene carriage at low expression levels, and carbapenemase gene testing (e.g., for </w:t>
      </w:r>
      <w:r>
        <w:rPr>
          <w:rFonts w:ascii="Times New Roman" w:hAnsi="Times New Roman"/>
          <w:b w:val="0"/>
          <w:i/>
          <w:sz w:val="24"/>
        </w:rPr>
        <w:t>bla</w:t>
      </w:r>
      <w:r>
        <w:rPr>
          <w:rFonts w:ascii="Times New Roman" w:hAnsi="Times New Roman"/>
          <w:b w:val="0"/>
          <w:i w:val="0"/>
          <w:sz w:val="24"/>
        </w:rPr>
        <w:t xml:space="preserve">NDM, </w:t>
      </w:r>
      <w:r>
        <w:rPr>
          <w:rFonts w:ascii="Times New Roman" w:hAnsi="Times New Roman"/>
          <w:b w:val="0"/>
          <w:i/>
          <w:sz w:val="24"/>
        </w:rPr>
        <w:t>bla</w:t>
      </w:r>
      <w:r>
        <w:rPr>
          <w:rFonts w:ascii="Times New Roman" w:hAnsi="Times New Roman"/>
          <w:b w:val="0"/>
          <w:i w:val="0"/>
          <w:sz w:val="24"/>
        </w:rPr>
        <w:t xml:space="preserve">KPC, </w:t>
      </w:r>
      <w:r>
        <w:rPr>
          <w:rFonts w:ascii="Times New Roman" w:hAnsi="Times New Roman"/>
          <w:b w:val="0"/>
          <w:i/>
          <w:sz w:val="24"/>
        </w:rPr>
        <w:t>bla</w:t>
      </w:r>
      <w:r>
        <w:rPr>
          <w:rFonts w:ascii="Times New Roman" w:hAnsi="Times New Roman"/>
          <w:b w:val="0"/>
          <w:i w:val="0"/>
          <w:sz w:val="24"/>
        </w:rPr>
        <w:t>OXA-48) was outside the scope of this study. The testing of carbapenemase resistance genes in environmental E. coli isolates from Nigerian food-animal settings therefore constitutes an important priority for future research. Continued surveillance is essential given the documented emergence of carbapenem resistance in E. coli and other Enterobacterales in sub-Saharan Africa (Murray et al., 2022), and the known risk that high-prevalence integron carriage, as documented in this study, creates a molecular infrastructure capable of rapidly acquiring and disseminating carbapenem resistance genes should they enter the local E. coli gene pool.</w:t>
      </w:r>
    </w:p>
    <w:p>
      <w:pPr>
        <w:spacing w:before="0" w:after="120" w:line="480" w:lineRule="auto"/>
        <w:jc w:val="both"/>
      </w:pPr>
      <w:r>
        <w:rPr>
          <w:rFonts w:ascii="Times New Roman" w:hAnsi="Times New Roman"/>
          <w:b/>
          <w:i w:val="0"/>
          <w:sz w:val="24"/>
        </w:rPr>
        <w:t>Azithromycin.</w:t>
      </w:r>
      <w:r>
        <w:rPr>
          <w:rFonts w:ascii="Times New Roman" w:hAnsi="Times New Roman"/>
          <w:b w:val="0"/>
          <w:i w:val="0"/>
          <w:sz w:val="24"/>
        </w:rPr>
        <w:t xml:space="preserve"> Universal resistance to azithromycin (100%) was observed among all isolates. Macrolide resistance in Gram-negative bacteria is frequently mediated by ribosomal methylation (erm genes), efflux pump overexpression (notably the AcrAB-TolC and MexAB-OprM systems), or macrolide phosphotransferases, all of which can be encoded on mobile genetic elements including integrons and plasmids (Fair &amp; Tor, 2014). The clinical relevance of azithromycin resistance in environmental E. coli is significant: azithromycin is employed as an oral treatment option for enteric infections, including non-typhoidal Salmonella and E. coli-associated diarrheal disease, in community settings, and its loss of efficacy due to resistance in commensal E. coli from food animals represents a serious public health concern. The 100% azithromycin resistance rate observed in this study is consistent with the high macrolide resistance documented in poultry-associated E. coli from multiple Nigerian and African studies (Agusi et al., 2024; Moffo et al., 2021).</w:t>
      </w:r>
    </w:p>
    <w:p>
      <w:pPr>
        <w:spacing w:before="0" w:after="120" w:line="480" w:lineRule="auto"/>
        <w:jc w:val="both"/>
      </w:pPr>
      <w:r>
        <w:rPr>
          <w:rFonts w:ascii="Times New Roman" w:hAnsi="Times New Roman"/>
          <w:b/>
          <w:i w:val="0"/>
          <w:sz w:val="24"/>
        </w:rPr>
        <w:t>Trimethoprim-Sulfamethoxazole (97.29%) and Chloramphenicol (97.29%).</w:t>
      </w:r>
      <w:r>
        <w:rPr>
          <w:rFonts w:ascii="Times New Roman" w:hAnsi="Times New Roman"/>
          <w:b w:val="0"/>
          <w:i w:val="0"/>
          <w:sz w:val="24"/>
        </w:rPr>
        <w:t xml:space="preserve"> Near-universal resistance to trimethoprim-sulfamethoxazole is one of the most consistently documented features of MDR E. coli from poultry environments globally, and the rate recorded in this study (97.29%) is in keeping with this global pattern. SXT resistance is frequently mediated by </w:t>
      </w:r>
      <w:r>
        <w:rPr>
          <w:rFonts w:ascii="Times New Roman" w:hAnsi="Times New Roman"/>
          <w:b w:val="0"/>
          <w:i/>
          <w:sz w:val="24"/>
        </w:rPr>
        <w:t>sul1</w:t>
      </w:r>
      <w:r>
        <w:rPr>
          <w:rFonts w:ascii="Times New Roman" w:hAnsi="Times New Roman"/>
          <w:b w:val="0"/>
          <w:i w:val="0"/>
          <w:sz w:val="24"/>
        </w:rPr>
        <w:t xml:space="preserve">, </w:t>
      </w:r>
      <w:r>
        <w:rPr>
          <w:rFonts w:ascii="Times New Roman" w:hAnsi="Times New Roman"/>
          <w:b w:val="0"/>
          <w:i/>
          <w:sz w:val="24"/>
        </w:rPr>
        <w:t>sul2</w:t>
      </w:r>
      <w:r>
        <w:rPr>
          <w:rFonts w:ascii="Times New Roman" w:hAnsi="Times New Roman"/>
          <w:b w:val="0"/>
          <w:i w:val="0"/>
          <w:sz w:val="24"/>
        </w:rPr>
        <w:t xml:space="preserve">, or </w:t>
      </w:r>
      <w:r>
        <w:rPr>
          <w:rFonts w:ascii="Times New Roman" w:hAnsi="Times New Roman"/>
          <w:b w:val="0"/>
          <w:i/>
          <w:sz w:val="24"/>
        </w:rPr>
        <w:t>sul3</w:t>
      </w:r>
      <w:r>
        <w:rPr>
          <w:rFonts w:ascii="Times New Roman" w:hAnsi="Times New Roman"/>
          <w:b w:val="0"/>
          <w:i w:val="0"/>
          <w:sz w:val="24"/>
        </w:rPr>
        <w:t xml:space="preserve"> genes conferring sulfonamide resistance, and by </w:t>
      </w:r>
      <w:r>
        <w:rPr>
          <w:rFonts w:ascii="Times New Roman" w:hAnsi="Times New Roman"/>
          <w:b w:val="0"/>
          <w:i/>
          <w:sz w:val="24"/>
        </w:rPr>
        <w:t>dfrA</w:t>
      </w:r>
      <w:r>
        <w:rPr>
          <w:rFonts w:ascii="Times New Roman" w:hAnsi="Times New Roman"/>
          <w:b w:val="0"/>
          <w:i w:val="0"/>
          <w:sz w:val="24"/>
        </w:rPr>
        <w:t xml:space="preserve"> gene cassettes conferring dihydrofolate reductase-mediated trimethoprim resistance; critically, both </w:t>
      </w:r>
      <w:r>
        <w:rPr>
          <w:rFonts w:ascii="Times New Roman" w:hAnsi="Times New Roman"/>
          <w:b w:val="0"/>
          <w:i/>
          <w:sz w:val="24"/>
        </w:rPr>
        <w:t>sul1</w:t>
      </w:r>
      <w:r>
        <w:rPr>
          <w:rFonts w:ascii="Times New Roman" w:hAnsi="Times New Roman"/>
          <w:b w:val="0"/>
          <w:i w:val="0"/>
          <w:sz w:val="24"/>
        </w:rPr>
        <w:t xml:space="preserve"> and </w:t>
      </w:r>
      <w:r>
        <w:rPr>
          <w:rFonts w:ascii="Times New Roman" w:hAnsi="Times New Roman"/>
          <w:b w:val="0"/>
          <w:i/>
          <w:sz w:val="24"/>
        </w:rPr>
        <w:t>dfrA</w:t>
      </w:r>
      <w:r>
        <w:rPr>
          <w:rFonts w:ascii="Times New Roman" w:hAnsi="Times New Roman"/>
          <w:b w:val="0"/>
          <w:i w:val="0"/>
          <w:sz w:val="24"/>
        </w:rPr>
        <w:t xml:space="preserve"> cassettes are among the most common gene cassettes found in Class 1 integrons (Fonseca et al., 2005). The near-perfect concordance between the SXT resistance rate (97.29%) and the Class I integron carriage rate (97.2%) in this study is thus mechanistically coherent and supports the inference that Class I integron-borne </w:t>
      </w:r>
      <w:r>
        <w:rPr>
          <w:rFonts w:ascii="Times New Roman" w:hAnsi="Times New Roman"/>
          <w:b w:val="0"/>
          <w:i/>
          <w:sz w:val="24"/>
        </w:rPr>
        <w:t>dfrA</w:t>
      </w:r>
      <w:r>
        <w:rPr>
          <w:rFonts w:ascii="Times New Roman" w:hAnsi="Times New Roman"/>
          <w:b w:val="0"/>
          <w:i w:val="0"/>
          <w:sz w:val="24"/>
        </w:rPr>
        <w:t xml:space="preserve"> and </w:t>
      </w:r>
      <w:r>
        <w:rPr>
          <w:rFonts w:ascii="Times New Roman" w:hAnsi="Times New Roman"/>
          <w:b w:val="0"/>
          <w:i/>
          <w:sz w:val="24"/>
        </w:rPr>
        <w:t>sul1</w:t>
      </w:r>
      <w:r>
        <w:rPr>
          <w:rFonts w:ascii="Times New Roman" w:hAnsi="Times New Roman"/>
          <w:b w:val="0"/>
          <w:i w:val="0"/>
          <w:sz w:val="24"/>
        </w:rPr>
        <w:t xml:space="preserve"> cassettes are major contributors to the observed SXT resistance phenotype. High chloramphenicol resistance (97.29%) is similarly consistent with published data from Nigerian and West African poultry studies (Lambraki et al., 2017), where decades of chloramphenicol use in veterinary and human medicine have exerted sustained selection pressure for resistance.</w:t>
      </w:r>
    </w:p>
    <w:p>
      <w:pPr>
        <w:spacing w:before="0" w:after="120" w:line="480" w:lineRule="auto"/>
        <w:jc w:val="both"/>
      </w:pPr>
      <w:r>
        <w:rPr>
          <w:rFonts w:ascii="Times New Roman" w:hAnsi="Times New Roman"/>
          <w:b/>
          <w:i w:val="0"/>
          <w:sz w:val="24"/>
        </w:rPr>
        <w:t>Ciprofloxacin (97.29%) and Nalidixic Acid (94.59%).</w:t>
      </w:r>
      <w:r>
        <w:rPr>
          <w:rFonts w:ascii="Times New Roman" w:hAnsi="Times New Roman"/>
          <w:b w:val="0"/>
          <w:i w:val="0"/>
          <w:sz w:val="24"/>
        </w:rPr>
        <w:t xml:space="preserve"> Resistance to fluoroquinolones, ciprofloxacin and its precursor nalidixic acid, was among the highest recorded in this study and represents one of its most clinically significant findings. Fluoroquinolones are classified as critically important antimicrobials for human medicine by the WHO, with ciprofloxacin serving as a cornerstone of empirical therapy for urinary tract infections, enteric fever, and Gram-negative septicaemia. The 97.29% ciprofloxacin resistance rate documented in this study far exceeds what would be expected in a population of bacteria naïve to selective pressure, and is consistent with the widespread use of fluoroquinolone-class antibiotics (enrofloxacin, ciprofloxacin) in Nigerian commercial poultry without adequate veterinary oversight (Oluwasile et al., 2014; Hedman et al., 2020). Ejeh et al. (2017) documented high fluoroquinolone resistance in E. coli from poultry sold along roadsides in Zaria, reinforcing the conclusion that fluoroquinolone selective pressure is endemic in the local poultry sector. In the broader Nigerian and West African context, Agusi et al. (2024) similarly reported high fluoroquinolone resistance in MDR E. coli from Jos, and Lambraki et al. (2017) identified fluoroquinolone resistance as one of the most prevalent resistance phenotypes in E. coli from West African food animals, consistent with the findings of this study.</w:t>
      </w:r>
    </w:p>
    <w:p>
      <w:pPr>
        <w:spacing w:before="0" w:after="120" w:line="480" w:lineRule="auto"/>
        <w:jc w:val="both"/>
      </w:pPr>
      <w:r>
        <w:rPr>
          <w:rFonts w:ascii="Times New Roman" w:hAnsi="Times New Roman"/>
          <w:b/>
          <w:i w:val="0"/>
          <w:sz w:val="24"/>
        </w:rPr>
        <w:t>Gentamicin (91.89%).</w:t>
      </w:r>
      <w:r>
        <w:rPr>
          <w:rFonts w:ascii="Times New Roman" w:hAnsi="Times New Roman"/>
          <w:b w:val="0"/>
          <w:i w:val="0"/>
          <w:sz w:val="24"/>
        </w:rPr>
        <w:t xml:space="preserve"> Gentamicin resistance at 91.89% is high relative to some published comparators and is mechanistically consistent with the high prevalence of Class I integrons in this isolate set: </w:t>
      </w:r>
      <w:r>
        <w:rPr>
          <w:rFonts w:ascii="Times New Roman" w:hAnsi="Times New Roman"/>
          <w:b w:val="0"/>
          <w:i/>
          <w:sz w:val="24"/>
        </w:rPr>
        <w:t>aadA</w:t>
      </w:r>
      <w:r>
        <w:rPr>
          <w:rFonts w:ascii="Times New Roman" w:hAnsi="Times New Roman"/>
          <w:b w:val="0"/>
          <w:i w:val="0"/>
          <w:sz w:val="24"/>
        </w:rPr>
        <w:t xml:space="preserve"> gene cassettes, which encode aminoglycoside 3′-adenylyltransferases conferring resistance to streptomycin and spectinomycin with partial cross-resistance to gentamicin, are among the most frequently documented cassettes in Class 1 integron arrays from food-animal E. coli (Fonseca et al., 2005; Mbelle et al., 2019). The high gentamicin resistance observed here is clinically significant because aminoglycosides remain important agents for the treatment of severe Gram-negative septicaemia, particularly in paediatric and neonatal settings, and resistance limits treatment options in resource-constrained Nigerian hospitals.</w:t>
      </w:r>
    </w:p>
    <w:p>
      <w:pPr>
        <w:spacing w:before="0" w:after="120" w:line="480" w:lineRule="auto"/>
        <w:jc w:val="both"/>
      </w:pPr>
      <w:r>
        <w:rPr>
          <w:rFonts w:ascii="Times New Roman" w:hAnsi="Times New Roman"/>
          <w:b/>
          <w:i w:val="0"/>
          <w:sz w:val="24"/>
        </w:rPr>
        <w:t>Tetracycline (89.18%).</w:t>
      </w:r>
      <w:r>
        <w:rPr>
          <w:rFonts w:ascii="Times New Roman" w:hAnsi="Times New Roman"/>
          <w:b w:val="0"/>
          <w:i w:val="0"/>
          <w:sz w:val="24"/>
        </w:rPr>
        <w:t xml:space="preserve"> Tetracycline resistance at 89.18% is consistent with the longstanding and widespread use of this antibiotic class in Nigerian poultry production as a first-line treatment and prophylactic agent (Oluwasile et al., 2014). Tetracycline resistance is among the most ubiquitous phenotypes in commensal E. coli from food animals globally, mediated primarily by efflux pump genes (</w:t>
      </w:r>
      <w:r>
        <w:rPr>
          <w:rFonts w:ascii="Times New Roman" w:hAnsi="Times New Roman"/>
          <w:b w:val="0"/>
          <w:i/>
          <w:sz w:val="24"/>
        </w:rPr>
        <w:t>tetA</w:t>
      </w:r>
      <w:r>
        <w:rPr>
          <w:rFonts w:ascii="Times New Roman" w:hAnsi="Times New Roman"/>
          <w:b w:val="0"/>
          <w:i w:val="0"/>
          <w:sz w:val="24"/>
        </w:rPr>
        <w:t xml:space="preserve">, </w:t>
      </w:r>
      <w:r>
        <w:rPr>
          <w:rFonts w:ascii="Times New Roman" w:hAnsi="Times New Roman"/>
          <w:b w:val="0"/>
          <w:i/>
          <w:sz w:val="24"/>
        </w:rPr>
        <w:t>tetB</w:t>
      </w:r>
      <w:r>
        <w:rPr>
          <w:rFonts w:ascii="Times New Roman" w:hAnsi="Times New Roman"/>
          <w:b w:val="0"/>
          <w:i w:val="0"/>
          <w:sz w:val="24"/>
        </w:rPr>
        <w:t xml:space="preserve">, </w:t>
      </w:r>
      <w:r>
        <w:rPr>
          <w:rFonts w:ascii="Times New Roman" w:hAnsi="Times New Roman"/>
          <w:b w:val="0"/>
          <w:i/>
          <w:sz w:val="24"/>
        </w:rPr>
        <w:t>tetC</w:t>
      </w:r>
      <w:r>
        <w:rPr>
          <w:rFonts w:ascii="Times New Roman" w:hAnsi="Times New Roman"/>
          <w:b w:val="0"/>
          <w:i w:val="0"/>
          <w:sz w:val="24"/>
        </w:rPr>
        <w:t>) that are widely distributed on plasmids and chromosomal elements. The high tetracycline resistance documented in this and comparable studies reflects decades of sub-therapeutic and therapeutic tetracycline use in Nigerian poultry without meaningful regulation or stewardship.</w:t>
      </w:r>
    </w:p>
    <w:p>
      <w:pPr>
        <w:spacing w:before="0" w:after="120" w:line="480" w:lineRule="auto"/>
        <w:jc w:val="both"/>
      </w:pPr>
      <w:r>
        <w:rPr>
          <w:rFonts w:ascii="Times New Roman" w:hAnsi="Times New Roman"/>
          <w:b/>
          <w:i w:val="0"/>
          <w:sz w:val="24"/>
        </w:rPr>
        <w:t>Amoxicillin-Clavulanic Acid (2.70% resistance) and Ceftriaxone (67.56% resistance).</w:t>
      </w:r>
      <w:r>
        <w:rPr>
          <w:rFonts w:ascii="Times New Roman" w:hAnsi="Times New Roman"/>
          <w:b w:val="0"/>
          <w:i w:val="0"/>
          <w:sz w:val="24"/>
        </w:rPr>
        <w:t xml:space="preserve"> The apparently paradoxical combination of low amoxicillin-clavulanic acid (AMC) resistance (2.70%) and high ceftriaxone resistance (67.56%) is ecologically interpretable in the context of beta-lactamase biology. Extended-spectrum beta-lactamases (ESBLs), which hydrolyse third-generation cephalosporins such as ceftriaxone, are inhibited by clavulanic acid, the beta-lactamase inhibitor component of AMC. The high ceftriaxone resistance observed in 25 of 37 isolates (67.56%) therefore raises a strong inferential basis for the presence of ESBL-producing phenotypes within this isolate set, which would simultaneously confer ceftriaxone resistance while remaining susceptible to the inhibitory action of clavulanate in the AMC combination (Tama et al., 2019). This inference is consistent with the documentation of ESBL-producing E. coli from poultry droppings in Keffi, Nigeria by Tama et al. (2019) and the detection of cephalosporin-resistant E. coli in poultry litter in Cameroon by Moffo et al. (2021). Regional evidence further supports this interpretation: Falgenhauer et al. (2019) detected ESBL-producing E. coli in both humans and poultry in Ghana, with shared genetic elements between human and poultry strains indicating cross-species transmission, while Kilani et al. (2015) characterized avian ESBL producers carrying </w:t>
      </w:r>
      <w:r>
        <w:rPr>
          <w:rFonts w:ascii="Times New Roman" w:hAnsi="Times New Roman"/>
          <w:b w:val="0"/>
          <w:i/>
          <w:sz w:val="24"/>
        </w:rPr>
        <w:t>bla</w:t>
      </w:r>
      <w:r>
        <w:rPr>
          <w:rFonts w:ascii="Times New Roman" w:hAnsi="Times New Roman"/>
          <w:b w:val="0"/>
          <w:i w:val="0"/>
          <w:sz w:val="24"/>
        </w:rPr>
        <w:t>CTX-M-1 and virulence genes from Tunisian poultry, demonstrating food-chain dissemination potential. Moremi et al. (2016) reported CTX-M-15-producing ESBL bacteria from environmental samples and fish gut in Tanzania, documenting the capacity of ESBL producers to establish themselves in environmental niches beyond clinical settings, precisely the type of environmental reservoir that vendor-traded poultry manure may represent. Definitive confirmation of ESBL phenotypes in the present study would require a combination disk diffusion test (cefotaxime ± clavulanic acid), which was outside the scope of this study and represents a priority for future investigation.</w:t>
      </w:r>
    </w:p>
    <w:p>
      <w:pPr>
        <w:pStyle w:val="Heading3"/>
        <w:spacing w:before="120" w:after="60" w:line="480" w:lineRule="auto"/>
        <w:jc w:val="left"/>
      </w:pPr>
      <w:r>
        <w:rPr>
          <w:rFonts w:ascii="Times New Roman" w:hAnsi="Times New Roman"/>
          <w:b/>
          <w:i w:val="0"/>
          <w:color w:val="000000"/>
          <w:sz w:val="24"/>
        </w:rPr>
        <w:t>5.3 MDR Patterns and Multiple Antibiotic Resistance (MAR) Indices</w:t>
      </w:r>
    </w:p>
    <w:p>
      <w:pPr>
        <w:spacing w:before="0" w:after="120" w:line="480" w:lineRule="auto"/>
        <w:jc w:val="both"/>
      </w:pPr>
      <w:r>
        <w:rPr>
          <w:rFonts w:ascii="Times New Roman" w:hAnsi="Times New Roman"/>
          <w:b w:val="0"/>
          <w:i w:val="0"/>
          <w:sz w:val="24"/>
        </w:rPr>
        <w:t xml:space="preserve">All 37 (100%) confirmed </w:t>
      </w:r>
      <w:r>
        <w:rPr>
          <w:rFonts w:ascii="Times New Roman" w:hAnsi="Times New Roman"/>
          <w:b w:val="0"/>
          <w:i/>
          <w:sz w:val="24"/>
        </w:rPr>
        <w:t>E. coli</w:t>
      </w:r>
      <w:r>
        <w:rPr>
          <w:rFonts w:ascii="Times New Roman" w:hAnsi="Times New Roman"/>
          <w:b w:val="0"/>
          <w:i w:val="0"/>
          <w:sz w:val="24"/>
        </w:rPr>
        <w:t xml:space="preserve"> isolates from vendor-sourced poultry manure in Zaria Metropolis were classified as multidrug resistant, that is, resistant to at least one antibiotic in three or more antibiotic classes. This 100% MDR rate is among the highest documented in comparable environmental studies from the region, although it must be interpreted in the context of the specific antibiotic panel selected: the ten antibiotics tested represent classes with known high resistance rates in Nigerian poultry environments, and the exclusion of agents with lower resistance potential (such as carbapenems) from the denominator would further inflate this figure. Nonetheless, a 100% MDR rate among environmental E. coli isolates is unambiguously alarming from a public health standpoint.</w:t>
      </w:r>
    </w:p>
    <w:p>
      <w:pPr>
        <w:spacing w:before="0" w:after="120" w:line="480" w:lineRule="auto"/>
        <w:jc w:val="both"/>
      </w:pPr>
      <w:r>
        <w:rPr>
          <w:rFonts w:ascii="Times New Roman" w:hAnsi="Times New Roman"/>
          <w:b w:val="0"/>
          <w:i w:val="0"/>
          <w:sz w:val="24"/>
        </w:rPr>
        <w:t>The comparable study by Moffo et al. (2021) in Cameroon reported MDR in the majority of E. coli isolates from poultry litter, with high resistance to fluoroquinolones, tetracyclines, and folate pathway inhibitors, the same classes dominating this study's resistance profile. Ngogang et al. (2021) documented extensive drug resistance in E. coli from chicken litter manure sold by urban vendors in Cameroon, reinforcing the conclusion that the commercial manure vendor market is a high-risk environment for concentrating MDR E. coli across West and Central Africa. In Jos, Nigeria, Agusi et al. (2024) similarly reported high MDR prevalence among E. coli from poultry, and Ejeh et al. (2017) established a local precedent of MDR in E. coli from Zaria poultry retailing, with MAR indices exceeding the 0.2 high-risk threshold in the majority of isolates, consistent with the 100% exceedance of this threshold recorded in the present study. Afunwa et al. (2020) similarly reported MAR indices above 0.2 in Gram-negative bacteria from Nigerian commercial poultry bird droppings in Enugu, reinforcing the conclusion that Nigerian commercial poultry environments universally qualify as high-risk antibiotic exposure settings by the MAR index criterion.</w:t>
      </w:r>
    </w:p>
    <w:p>
      <w:pPr>
        <w:spacing w:before="0" w:after="120" w:line="480" w:lineRule="auto"/>
        <w:jc w:val="both"/>
      </w:pPr>
      <w:r>
        <w:rPr>
          <w:rFonts w:ascii="Times New Roman" w:hAnsi="Times New Roman"/>
          <w:b w:val="0"/>
          <w:i w:val="0"/>
          <w:sz w:val="24"/>
        </w:rPr>
        <w:t>Ten distinct antimicrobial resistance patterns were identified in this study, demonstrating that the MDR burden in vendor-sourced poultry manure is not monoclonal but reflects a diverse population of resistant E. coli lineages with varied gene cassette compositions. The predominant pattern, 8-drug resistance to CRO, TE, CN, SXT, C, AZM, CIP, and NA, accounting for 51.35% of isolates, indicates that a genetically cohesive and particularly resistant clone (or set of clones sharing a common integron backbone) may be circulating among the commercial poultry operations supplying the Zaria vendor market. The existence of a single isolate with 9-drug resistance, incorporating AMC, underscores the capacity of integron-bearing E. coli to accumulate resistance cassettes beyond the core MDR phenotype, approaching near-pan-resistance to the antibiotics tested in this study.</w:t>
      </w:r>
    </w:p>
    <w:p>
      <w:pPr>
        <w:spacing w:before="0" w:after="120" w:line="480" w:lineRule="auto"/>
        <w:jc w:val="both"/>
      </w:pPr>
      <w:r>
        <w:rPr>
          <w:rFonts w:ascii="Times New Roman" w:hAnsi="Times New Roman"/>
          <w:b w:val="0"/>
          <w:i w:val="0"/>
          <w:sz w:val="24"/>
        </w:rPr>
        <w:t>The MAR index distribution, ranging from 0.3 to 0.9, with a modal value of 0.8, provides quantitative evidence that all 37 isolates originated from environments characterized by extensive prior antibiotic exposure (Roe &amp; Pillai, 2003). This finding is mechanistically consistent with the known antibiotic use practices in commercial poultry production in North-West Nigeria, where tetracyclines, fluoroquinolones, sulfonamides, and aminoglycosides are routinely used, often without veterinary prescription or pharmacokinetic guidance (Oluwasile et al., 2014; Hedman et al., 2020). The uniform exceedance of the MAR &gt;0.2 threshold across all isolates and all vendor locations strongly implies that all eight vendor locations draw their manure supply from production environments with chronically high antibiotic selective pressure, a conclusion consistent with the non-significant inter-location variation in E. coli prevalence and integron carriage rates.</w:t>
      </w:r>
    </w:p>
    <w:p>
      <w:pPr>
        <w:spacing w:before="0" w:after="120" w:line="480" w:lineRule="auto"/>
        <w:jc w:val="both"/>
      </w:pPr>
      <w:r>
        <w:rPr>
          <w:rFonts w:ascii="Times New Roman" w:hAnsi="Times New Roman"/>
          <w:b w:val="0"/>
          <w:i w:val="0"/>
          <w:sz w:val="24"/>
        </w:rPr>
        <w:t>The mechanistic link between the high integron carriage rates documented in this study and the broad, consistent MDR phenotype of the isolates is direct and important: integrons function as molecular platforms that simultaneously express multiple resistance gene cassettes from a single Pc promoter, enabling co-resistance to aminoglycosides, trimethoprim, sulfonamides, and other classes from a single genetic locus (Fonseca et al., 2005). The 97.2% Class I integron prevalence observed in this study thus provides a coherent molecular basis for the 97.29% SXT resistance, the 91.89% gentamicin resistance, and the extensive chloramphenicol and fluoroquinolone resistance seen across the isolate set.</w:t>
      </w:r>
    </w:p>
    <w:p>
      <w:pPr>
        <w:pStyle w:val="Heading3"/>
        <w:spacing w:before="120" w:after="60" w:line="480" w:lineRule="auto"/>
        <w:jc w:val="left"/>
      </w:pPr>
      <w:r>
        <w:rPr>
          <w:rFonts w:ascii="Times New Roman" w:hAnsi="Times New Roman"/>
          <w:b/>
          <w:i w:val="0"/>
          <w:color w:val="000000"/>
          <w:sz w:val="24"/>
        </w:rPr>
        <w:t>5.4 Class I Integron Prevalence</w:t>
      </w:r>
    </w:p>
    <w:p>
      <w:pPr>
        <w:spacing w:before="0" w:after="120" w:line="480" w:lineRule="auto"/>
        <w:jc w:val="both"/>
      </w:pPr>
      <w:r>
        <w:rPr>
          <w:rFonts w:ascii="Times New Roman" w:hAnsi="Times New Roman"/>
          <w:b w:val="0"/>
          <w:i w:val="0"/>
          <w:sz w:val="24"/>
        </w:rPr>
        <w:t xml:space="preserve">Class I integrons were detected in 36 of 37 MDR </w:t>
      </w:r>
      <w:r>
        <w:rPr>
          <w:rFonts w:ascii="Times New Roman" w:hAnsi="Times New Roman"/>
          <w:b w:val="0"/>
          <w:i/>
          <w:sz w:val="24"/>
        </w:rPr>
        <w:t>E. coli</w:t>
      </w:r>
      <w:r>
        <w:rPr>
          <w:rFonts w:ascii="Times New Roman" w:hAnsi="Times New Roman"/>
          <w:b w:val="0"/>
          <w:i w:val="0"/>
          <w:sz w:val="24"/>
        </w:rPr>
        <w:t xml:space="preserve"> isolates (97.2%), a prevalence rate that is exceptionally high relative to many published reports for both clinical and environmental E. coli populations. The near-universal carriage of Class I integrons in this isolate set reflects the efficiency with which this element has established itself as a stable component of the E. coli genome in the intensive poultry production environment, where the sustained selective pressure of multiple antibiotic classes simultaneously favours the retention and proliferation of integron-bearing lineages.</w:t>
      </w:r>
    </w:p>
    <w:p>
      <w:pPr>
        <w:spacing w:before="0" w:after="120" w:line="480" w:lineRule="auto"/>
        <w:jc w:val="both"/>
      </w:pPr>
      <w:r>
        <w:rPr>
          <w:rFonts w:ascii="Times New Roman" w:hAnsi="Times New Roman"/>
          <w:b w:val="0"/>
          <w:i w:val="0"/>
          <w:sz w:val="24"/>
        </w:rPr>
        <w:t xml:space="preserve">In the global context, the prevalence of Class I integrons in food-animal E. coli varies widely across studies and regions, ranging from relatively low proportions in some farm settings to extremely high rates in isolates from high-antibiotic-use environments. Mbelle et al. (2019) used whole-genome sequencing to characterize the resistome of MDR E. coli clinical isolates from South Africa and documented Class 1 integrons as dominant mobile resistance elements carrying cassette arrays conferring co-resistance to aminoglycosides and trimethoprim, a pattern mechanistically consistent with the SXT and gentamicin resistance profile observed in this study. In the Nigerian veterinary context, Agusi et al. (2024) noted the co-occurrence of resistance and virulence determinants in MDR E. coli from poultry, and while integron carriage was not the primary focus of that study, the resistance phenotypes reported are consistent with integron-driven resistance. Jechalke et al. (2013) demonstrated that manure application to agricultural soils significantly augments the abundance of </w:t>
      </w:r>
      <w:r>
        <w:rPr>
          <w:rFonts w:ascii="Times New Roman" w:hAnsi="Times New Roman"/>
          <w:b w:val="0"/>
          <w:i/>
          <w:sz w:val="24"/>
        </w:rPr>
        <w:t>intI1</w:t>
      </w:r>
      <w:r>
        <w:rPr>
          <w:rFonts w:ascii="Times New Roman" w:hAnsi="Times New Roman"/>
          <w:b w:val="0"/>
          <w:i w:val="0"/>
          <w:sz w:val="24"/>
        </w:rPr>
        <w:t>-associated resistance genes in soil microbial communities, providing a mechanistic basis for the high integron prevalence in vendor-traded poultry litter that has been aggregated from multiple farms without intervening treatment or composting.</w:t>
      </w:r>
    </w:p>
    <w:p>
      <w:pPr>
        <w:spacing w:before="0" w:after="120" w:line="480" w:lineRule="auto"/>
        <w:jc w:val="both"/>
      </w:pPr>
      <w:r>
        <w:rPr>
          <w:rFonts w:ascii="Times New Roman" w:hAnsi="Times New Roman"/>
          <w:b w:val="0"/>
          <w:i w:val="0"/>
          <w:sz w:val="24"/>
        </w:rPr>
        <w:t xml:space="preserve">The mechanistic significance of Class I integrons in this isolate set extends beyond the resistance gene cassettes they currently carry: integrons are dynamic systems capable of acquiring novel cassettes from the integron gene cassette pool present in the environment (Fonseca et al., 2005). The high density of Class I integron-bearing E. coli in vendor-traded poultry manure, which is applied without biosafety treatment to urban agricultural soils in Zaria, thus creates an environmental reservoir with the capacity to continually evolve and expand its resistance gene repertoire through recombination with cassettes from soil, water, and co-habiting bacteria. The clinical relevance of this dynamic reservoir is underscored by the well-documented ability of Class I integrons to transfer horizontally between E. coli and other Enterobacterales, including clinically significant pathogens such as </w:t>
      </w:r>
      <w:r>
        <w:rPr>
          <w:rFonts w:ascii="Times New Roman" w:hAnsi="Times New Roman"/>
          <w:b w:val="0"/>
          <w:i/>
          <w:sz w:val="24"/>
        </w:rPr>
        <w:t>Klebsiella pneumoniae</w:t>
      </w:r>
      <w:r>
        <w:rPr>
          <w:rFonts w:ascii="Times New Roman" w:hAnsi="Times New Roman"/>
          <w:b w:val="0"/>
          <w:i w:val="0"/>
          <w:sz w:val="24"/>
        </w:rPr>
        <w:t xml:space="preserve"> and </w:t>
      </w:r>
      <w:r>
        <w:rPr>
          <w:rFonts w:ascii="Times New Roman" w:hAnsi="Times New Roman"/>
          <w:b w:val="0"/>
          <w:i/>
          <w:sz w:val="24"/>
        </w:rPr>
        <w:t>Salmonella</w:t>
      </w:r>
      <w:r>
        <w:rPr>
          <w:rFonts w:ascii="Times New Roman" w:hAnsi="Times New Roman"/>
          <w:b w:val="0"/>
          <w:i w:val="0"/>
          <w:sz w:val="24"/>
        </w:rPr>
        <w:t xml:space="preserve"> spp., via conjugative plasmids (Heuer et al., 2011). The detection of Class I integrons in vendor-sourced poultry litter therefore represents not merely a documentation of current resistance, but an assessment of the forward risk to clinical AMR in the Zaria urban environment.</w:t>
      </w:r>
    </w:p>
    <w:p>
      <w:pPr>
        <w:spacing w:before="0" w:after="120" w:line="480" w:lineRule="auto"/>
        <w:jc w:val="both"/>
      </w:pPr>
      <w:r>
        <w:rPr>
          <w:rFonts w:ascii="Times New Roman" w:hAnsi="Times New Roman"/>
          <w:b w:val="0"/>
          <w:i w:val="0"/>
          <w:sz w:val="24"/>
        </w:rPr>
        <w:t>Internationally, Class I integron prevalence rates comparable to or exceeding 90% have been documented in poultry-associated E. coli from high-antibiotic-use environments: Cavicchio et al. (2015) detected Class I integrons in avian pathogenic E. coli from Italian poultry with 15 distinct gene cassette arrays, establishing the breadth of Class I integron diversity in commercial poultry settings; Racewicz et al. (2022) reported Class I integrons as a dominant feature of multiresistant E. coli from Polish poultry litter, cloacal swabs, and meat, strongly associating integron carriage with the MDR phenotype; Wu et al. (2015) documented Class I integrons in drug-resistant E. coli from Chinese broiler carcasses, demonstrating their role in AMR accumulation in the food production chain; and Antony (2025) confirmed Class I integrons in MDR E. coli from ready-to-eat foods in India, demonstrating integron-mediated AMR dissemination at the point of human consumption. The 97.2% Class I integron prevalence documented in the present study therefore places the MDR E. coli from Zaria vendor-sourced poultry manure within the highest documented tier of integron carriage for food-animal environmental isolates globally.</w:t>
      </w:r>
    </w:p>
    <w:p>
      <w:pPr>
        <w:spacing w:before="0" w:after="120" w:line="480" w:lineRule="auto"/>
        <w:jc w:val="both"/>
      </w:pPr>
      <w:r>
        <w:rPr>
          <w:rFonts w:ascii="Times New Roman" w:hAnsi="Times New Roman"/>
          <w:b w:val="0"/>
          <w:i w:val="0"/>
          <w:sz w:val="24"/>
        </w:rPr>
        <w:t>The detection of Class I integrons in isolates from all eight vendor locations, including those with small sample sizes (Zabi, Samaru, Basawa: two E. coli isolates each), supports the conclusion that Class I integron carriage is a pervasive and location-independent feature of MDR E. coli in Zaria's commercial poultry manure trade. The non-significant chi-square result for Class I prevalence by location (χ² = 2.429, P = 0.932) is consistent with this interpretation: the near-universal carriage rate (97.2%) leaves little inter-location variance to detect statistically, and the single integron-negative isolate (from Dan Magaji) is an exception rather than an indicator of a location-specific difference.</w:t>
      </w:r>
    </w:p>
    <w:p>
      <w:pPr>
        <w:pStyle w:val="Heading3"/>
        <w:spacing w:before="120" w:after="60" w:line="480" w:lineRule="auto"/>
        <w:jc w:val="left"/>
      </w:pPr>
      <w:r>
        <w:rPr>
          <w:rFonts w:ascii="Times New Roman" w:hAnsi="Times New Roman"/>
          <w:b/>
          <w:i w:val="0"/>
          <w:color w:val="000000"/>
          <w:sz w:val="24"/>
        </w:rPr>
        <w:t>5.5 Class II Integron Prevalence</w:t>
      </w:r>
    </w:p>
    <w:p>
      <w:pPr>
        <w:spacing w:before="0" w:after="120" w:line="480" w:lineRule="auto"/>
        <w:jc w:val="both"/>
      </w:pPr>
      <w:r>
        <w:rPr>
          <w:rFonts w:ascii="Times New Roman" w:hAnsi="Times New Roman"/>
          <w:b w:val="0"/>
          <w:i w:val="0"/>
          <w:sz w:val="24"/>
        </w:rPr>
        <w:t xml:space="preserve">Class II integrons were detected in 28 of the 37 MDR </w:t>
      </w:r>
      <w:r>
        <w:rPr>
          <w:rFonts w:ascii="Times New Roman" w:hAnsi="Times New Roman"/>
          <w:b w:val="0"/>
          <w:i/>
          <w:sz w:val="24"/>
        </w:rPr>
        <w:t>E. coli</w:t>
      </w:r>
      <w:r>
        <w:rPr>
          <w:rFonts w:ascii="Times New Roman" w:hAnsi="Times New Roman"/>
          <w:b w:val="0"/>
          <w:i w:val="0"/>
          <w:sz w:val="24"/>
        </w:rPr>
        <w:t xml:space="preserve"> isolates (75.6%). This prevalence is notably high relative to reported rates for Class II integrons in food-animal E. coli from most published studies globally, where Class II integrons are consistently less prevalent than Class I, reflecting their more restricted mobility and narrower host range (Goldstein et al., 2001). The 75.6% Class II prevalence documented here substantially exceeds the Class II detection rates typically reported from environmental and food-animal E. coli populations, where Class II carriage often ranges from 10–40% in settings where Class I prevalence is high (Goldstein et al., 2001). This high Class II prevalence may reflect the concentrated selective pressure of multiple antibiotic classes operating simultaneously in the commercial poultry environments supplying the Zaria vendor market, which co-selects for bacteria bearing multiple integron classes and multiple resistance gene cassette arrays.</w:t>
      </w:r>
    </w:p>
    <w:p>
      <w:pPr>
        <w:spacing w:before="0" w:after="120" w:line="480" w:lineRule="auto"/>
        <w:jc w:val="both"/>
      </w:pPr>
      <w:r>
        <w:rPr>
          <w:rFonts w:ascii="Times New Roman" w:hAnsi="Times New Roman"/>
          <w:b w:val="0"/>
          <w:i w:val="0"/>
          <w:sz w:val="24"/>
        </w:rPr>
        <w:t xml:space="preserve">The structural composition of Class II integrons, characterized by the IntI2 integrase and a relatively conserved cassette array typically including </w:t>
      </w:r>
      <w:r>
        <w:rPr>
          <w:rFonts w:ascii="Times New Roman" w:hAnsi="Times New Roman"/>
          <w:b w:val="0"/>
          <w:i/>
          <w:sz w:val="24"/>
        </w:rPr>
        <w:t>dfrA1</w:t>
      </w:r>
      <w:r>
        <w:rPr>
          <w:rFonts w:ascii="Times New Roman" w:hAnsi="Times New Roman"/>
          <w:b w:val="0"/>
          <w:i w:val="0"/>
          <w:sz w:val="24"/>
        </w:rPr>
        <w:t xml:space="preserve"> (trimethoprim resistance), </w:t>
      </w:r>
      <w:r>
        <w:rPr>
          <w:rFonts w:ascii="Times New Roman" w:hAnsi="Times New Roman"/>
          <w:b w:val="0"/>
          <w:i/>
          <w:sz w:val="24"/>
        </w:rPr>
        <w:t>sat1</w:t>
      </w:r>
      <w:r>
        <w:rPr>
          <w:rFonts w:ascii="Times New Roman" w:hAnsi="Times New Roman"/>
          <w:b w:val="0"/>
          <w:i w:val="0"/>
          <w:sz w:val="24"/>
        </w:rPr>
        <w:t xml:space="preserve"> (streptothricin acetyltransferase), and </w:t>
      </w:r>
      <w:r>
        <w:rPr>
          <w:rFonts w:ascii="Times New Roman" w:hAnsi="Times New Roman"/>
          <w:b w:val="0"/>
          <w:i/>
          <w:sz w:val="24"/>
        </w:rPr>
        <w:t>aadA1</w:t>
      </w:r>
      <w:r>
        <w:rPr>
          <w:rFonts w:ascii="Times New Roman" w:hAnsi="Times New Roman"/>
          <w:b w:val="0"/>
          <w:i w:val="0"/>
          <w:sz w:val="24"/>
        </w:rPr>
        <w:t xml:space="preserve"> (aminoglycoside resistance), provides a mechanistic basis for the high trimethoprim-sulfonamide and aminoglycoside resistance observed in this study that complements the Class I integron-borne resistance cassettes (Goldstein et al., 2001). The simultaneous presence of both integron classes within the same isolate, documented in 27 of 37 isolates (73.0%) in this study, indicates that a large proportion of the MDR E. coli population in vendor-traded poultry manure carries a double-integron architecture that enables expression of resistance cassettes from two distinct integron systems. This co-carriage pattern amplifies the width of the resistance gene repertoire available within individual bacteria and increases the potential for horizontal transfer of a broader array of resistance determinants to recipient bacteria in the soil and urban agricultural environment (Wang et al., 2023; Heuer et al., 2011). Cavicchio et al. (2015) similarly documented the concurrent presence of Class I and Class II integrons in avian pathogenic </w:t>
      </w:r>
      <w:r>
        <w:rPr>
          <w:rFonts w:ascii="Times New Roman" w:hAnsi="Times New Roman"/>
          <w:b w:val="0"/>
          <w:i/>
          <w:sz w:val="24"/>
        </w:rPr>
        <w:t>E. coli</w:t>
      </w:r>
      <w:r>
        <w:rPr>
          <w:rFonts w:ascii="Times New Roman" w:hAnsi="Times New Roman"/>
          <w:b w:val="0"/>
          <w:i w:val="0"/>
          <w:sz w:val="24"/>
        </w:rPr>
        <w:t xml:space="preserve"> from Italian commercial poultry flocks, identifying 15 distinct gene cassette arrays within Class I integron-positive isolates, evidence that dual-integron architecture generates extensive resistance gene diversity in high-antibiotic-use poultry settings analogous to those supplying the Zaria vendor market.</w:t>
      </w:r>
    </w:p>
    <w:p>
      <w:pPr>
        <w:spacing w:before="0" w:after="120" w:line="480" w:lineRule="auto"/>
        <w:jc w:val="both"/>
      </w:pPr>
      <w:r>
        <w:rPr>
          <w:rFonts w:ascii="Times New Roman" w:hAnsi="Times New Roman"/>
          <w:b w:val="0"/>
          <w:i w:val="0"/>
          <w:sz w:val="24"/>
        </w:rPr>
        <w:t>The absence of Class II integrons in all three E. coli isolates from the Dogarawa location, in contrast to 100% Class II carriage at Jushin Ciki, Samaru, and Basawa, warrants careful interpretation. With only three E. coli isolates from Dogarawa, the sample size is insufficient to draw conclusions about the true Class II integron prevalence at this location. The lack of any Class II-positive isolate from Dogarawa may reflect genuine biological differences in the source flock populations supplying that vendor, for instance different antibiotic use histories or different flock origins, or it may simply represent sampling stochasticity. The chi-square analysis for Class II integron carriage by location yielded a non-significant result (χ² = 12.718, df = 7, P = 0.079), and expected cell frequencies below 5 in multiple cells of the contingency table preclude reliable statistical inference. The Dogarawa finding should therefore be interpreted with caution and investigated with a larger sample in future studies.</w:t>
      </w:r>
    </w:p>
    <w:p>
      <w:pPr>
        <w:spacing w:before="0" w:after="120" w:line="480" w:lineRule="auto"/>
        <w:jc w:val="both"/>
      </w:pPr>
      <w:r>
        <w:rPr>
          <w:rFonts w:ascii="Times New Roman" w:hAnsi="Times New Roman"/>
          <w:b w:val="0"/>
          <w:i w:val="0"/>
          <w:sz w:val="24"/>
        </w:rPr>
        <w:t>Taken together, the Class I and Class II integron data from this study collectively indicate that vendor-traded commercial poultry manure in Zaria Metropolis constitutes a highly integron-enriched matrix with exceptional capacity for horizontal gene transfer of resistance determinants. The 97.2% Class I prevalence and 75.6% Class II prevalence are among the highest reported for food-animal environmental E. coli in Nigeria, and the 73.0% rate of co-carriage of both integron classes within single isolates represents an exceptionally complex molecular resistance architecture that warrants urgent attention from both a public health and antibiotic stewardship perspective.</w:t>
      </w:r>
    </w:p>
    <w:p>
      <w:pPr>
        <w:pStyle w:val="Heading3"/>
        <w:spacing w:before="120" w:after="60" w:line="480" w:lineRule="auto"/>
        <w:jc w:val="left"/>
      </w:pPr>
      <w:r>
        <w:rPr>
          <w:rFonts w:ascii="Times New Roman" w:hAnsi="Times New Roman"/>
          <w:b/>
          <w:i w:val="0"/>
          <w:color w:val="000000"/>
          <w:sz w:val="24"/>
        </w:rPr>
        <w:t>5.6 Public Health Implications</w:t>
      </w:r>
    </w:p>
    <w:p>
      <w:pPr>
        <w:spacing w:before="0" w:after="120" w:line="480" w:lineRule="auto"/>
        <w:jc w:val="both"/>
      </w:pPr>
      <w:r>
        <w:rPr>
          <w:rFonts w:ascii="Times New Roman" w:hAnsi="Times New Roman"/>
          <w:b w:val="0"/>
          <w:i w:val="0"/>
          <w:sz w:val="24"/>
        </w:rPr>
        <w:t>The findings of this study have direct and multi-dimensional implications for public health, veterinary practice, and AMR policy, interpreted within the One Health framework.</w:t>
      </w:r>
    </w:p>
    <w:p>
      <w:pPr>
        <w:spacing w:before="0" w:after="120" w:line="480" w:lineRule="auto"/>
        <w:jc w:val="both"/>
      </w:pPr>
      <w:r>
        <w:rPr>
          <w:rFonts w:ascii="Times New Roman" w:hAnsi="Times New Roman"/>
          <w:b w:val="0"/>
          <w:i w:val="0"/>
          <w:sz w:val="24"/>
        </w:rPr>
        <w:t>The demonstration that 100% of confirmed E. coli isolates from vendor-traded poultry manure in Zaria were MDR, that 97.2% carried Class I integrons, and that 75.6% carried Class II integrons establishes vendor markets as high-risk AMR nodes in the urban One Health system. Vendor markets occupy a uniquely dangerous position in the urban AMR transmission chain: unlike farms, which are geographically separated from residential communities, vendor markets operate within the urban environment, in direct contact with consumers, smallholder farmers, domestic gardeners, and market workers. The commercial distribution of integron-bearing MDR E. coli through vendor-traded manure creates multiple exposure pathways for the urban population: direct contact during handling and application; contamination of vegetables and crops grown with manure in kitchen gardens and smallholder plots; and potential contamination of shallow groundwater sources in densely populated urban neighbourhoods (Marti et al., 2013; Heuer et al., 2011). Global evidence consistently reinforces this risk profile: Wang et al. (2021) identified soil as a major reservoir of ARGs within the One Health system and demonstrated that antibiotic overuse drives ARG proliferation and inter-species transfer among soil-associated microorganisms; He et al. (2020) confirmed that conventional livestock waste treatment processes do not fully remove ARGs, ensuring their sustained release to soil and water environments after land application; and Maciel-Guerra et al. (2022) provided shotgun metagenomics evidence that clinically relevant ARGs and mobile genetic elements circulate simultaneously among broiler chickens, farm workers, and surrounding soil in integrated farm environments, directly implicating the farm-waste-environment interface as a key node of One Health AMR transmission and underscoring the inadequacy of single-sector surveillance. The risk is compounded by the absence of any biosafety requirements, AMR testing, or composting standards for poultry manure entering the informal vendor market in Nigeria.</w:t>
      </w:r>
    </w:p>
    <w:p>
      <w:pPr>
        <w:spacing w:before="0" w:after="120" w:line="480" w:lineRule="auto"/>
        <w:jc w:val="both"/>
      </w:pPr>
      <w:r>
        <w:rPr>
          <w:rFonts w:ascii="Times New Roman" w:hAnsi="Times New Roman"/>
          <w:b w:val="0"/>
          <w:i w:val="0"/>
          <w:sz w:val="24"/>
        </w:rPr>
        <w:t>The detection of integron-bearing MDR E. coli at all eight vendor locations across both Zaria and Sabon Gari LGAs indicates that this AMR risk is not confined to a particular area or vendor cluster but is distributed uniformly across the informal manure trade in the metropolis. Market workers and smallholder farmers who regularly handle and apply manure from these vendors are at elevated occupational risk of colonization and infection with MDR E. coli, and may serve as silent vectors for the dissemination of MDR organisms into household and community settings. The general population of urban Zaria, who consume produce grown with vendor-supplied manure, also faces a food chain exposure risk that is currently uncharacterized and unmonitored.</w:t>
      </w:r>
    </w:p>
    <w:p>
      <w:pPr>
        <w:spacing w:before="0" w:after="120" w:line="480" w:lineRule="auto"/>
        <w:jc w:val="both"/>
      </w:pPr>
      <w:r>
        <w:rPr>
          <w:rFonts w:ascii="Times New Roman" w:hAnsi="Times New Roman"/>
          <w:b w:val="0"/>
          <w:i w:val="0"/>
          <w:sz w:val="24"/>
        </w:rPr>
        <w:t>These findings argue strongly for the following policy responses: (i) the mandatory inclusion of environmental and agricultural matrices, including commercial poultry manure, in Nigeria's National Action Plan on AMR surveillance framework; (ii) the establishment of minimum biosafety and AMR standards for the trade, transportation, and application of commercial poultry manure in urban settings; (iii) the implementation of targeted antibiotic stewardship programmes in commercial poultry production in North-West Nigeria, with particular emphasis on reducing sub-therapeutic use of fluoroquinolones, sulfonamides, and aminoglycosides; and (iv) the extension of AMR education campaigns to manure vendors, agricultural workers, and smallholder farmers who may be unaware of the resistance risk associated with fresh, untreated poultry litter.</w:t>
      </w:r>
    </w:p>
    <w:p>
      <w:pPr>
        <w:pStyle w:val="Heading3"/>
        <w:spacing w:before="120" w:after="60" w:line="480" w:lineRule="auto"/>
        <w:jc w:val="left"/>
      </w:pPr>
      <w:r>
        <w:rPr>
          <w:rFonts w:ascii="Times New Roman" w:hAnsi="Times New Roman"/>
          <w:b/>
          <w:i w:val="0"/>
          <w:color w:val="000000"/>
          <w:sz w:val="24"/>
        </w:rPr>
        <w:t>5.7 Limitations of the Study</w:t>
      </w:r>
    </w:p>
    <w:p>
      <w:pPr>
        <w:spacing w:before="0" w:after="120" w:line="480" w:lineRule="auto"/>
        <w:jc w:val="both"/>
      </w:pPr>
      <w:r>
        <w:rPr>
          <w:rFonts w:ascii="Times New Roman" w:hAnsi="Times New Roman"/>
          <w:b w:val="0"/>
          <w:i w:val="0"/>
          <w:sz w:val="24"/>
        </w:rPr>
        <w:t>Several limitations of this study should be acknowledged in interpreting its findings.</w:t>
      </w:r>
    </w:p>
    <w:p>
      <w:pPr>
        <w:spacing w:before="0" w:after="120" w:line="480" w:lineRule="auto"/>
        <w:jc w:val="both"/>
      </w:pPr>
      <w:r>
        <w:rPr>
          <w:rFonts w:ascii="Times New Roman" w:hAnsi="Times New Roman"/>
          <w:b w:val="0"/>
          <w:i w:val="0"/>
          <w:sz w:val="24"/>
        </w:rPr>
        <w:t>First, the cross-sectional study design provides a prevalence snapshot at a single point in time and does not capture seasonal, temporal, or longitudinal trends in E. coli prevalence or integron carriage in vendor-traded poultry manure. AMR profiles in environmental bacteria are dynamic and may vary with seasonal changes in ambient temperature, rainfall, and flock turnover rates in source farms. Longitudinal surveillance studies would be needed to characterize temporal trends.</w:t>
      </w:r>
    </w:p>
    <w:p>
      <w:pPr>
        <w:spacing w:before="0" w:after="120" w:line="480" w:lineRule="auto"/>
        <w:jc w:val="both"/>
      </w:pPr>
      <w:r>
        <w:rPr>
          <w:rFonts w:ascii="Times New Roman" w:hAnsi="Times New Roman"/>
          <w:b w:val="0"/>
          <w:i w:val="0"/>
          <w:sz w:val="24"/>
        </w:rPr>
        <w:t>Second, convenience sampling was employed for vendor selection, which may introduce selection bias and may not fully represent the diversity of vendor types, litter sources, and geographic sub-areas operating within Zaria Metropolis. Findings should therefore be interpreted as indicative of the AMR burden at the surveyed vendor locations rather than as a definitive estimate for the entire Zaria manure trade.</w:t>
      </w:r>
    </w:p>
    <w:p>
      <w:pPr>
        <w:spacing w:before="0" w:after="120" w:line="480" w:lineRule="auto"/>
        <w:jc w:val="both"/>
      </w:pPr>
      <w:r>
        <w:rPr>
          <w:rFonts w:ascii="Times New Roman" w:hAnsi="Times New Roman"/>
          <w:b w:val="0"/>
          <w:i w:val="0"/>
          <w:sz w:val="24"/>
        </w:rPr>
        <w:t>Third, molecular characterization was limited to the detection of Class I and Class II integrons by conventional PCR. The specific resistance gene cassettes carried within the integron arrays were not sequenced, and the plasmid types or chromosomal locations of the integrons were not determined. Whole-genome sequencing of selected isolates in future studies would provide substantially richer data on the diversity of integron cassette arrays, the genetic context of integron-bearing elements, and the clonal relationships between isolates from different vendor locations.</w:t>
      </w:r>
    </w:p>
    <w:p>
      <w:pPr>
        <w:spacing w:before="0" w:after="120" w:line="480" w:lineRule="auto"/>
        <w:jc w:val="both"/>
      </w:pPr>
      <w:r>
        <w:rPr>
          <w:rFonts w:ascii="Times New Roman" w:hAnsi="Times New Roman"/>
          <w:b w:val="0"/>
          <w:i w:val="0"/>
          <w:sz w:val="24"/>
        </w:rPr>
        <w:t>Fourth, although meropenem susceptibility was confirmed for all isolates by disk diffusion, carbapenemase gene testing was not performed. Phenotypic susceptibility does not exclude low-level carbapenemase gene carriage, and the absence of carbapenemase data represents a gap in the characterization of the full resistance gene repertoire of these isolates.</w:t>
      </w:r>
    </w:p>
    <w:p>
      <w:pPr>
        <w:spacing w:before="0" w:after="120" w:line="480" w:lineRule="auto"/>
        <w:jc w:val="both"/>
      </w:pPr>
      <w:r>
        <w:rPr>
          <w:rFonts w:ascii="Times New Roman" w:hAnsi="Times New Roman"/>
          <w:b w:val="0"/>
          <w:i w:val="0"/>
          <w:sz w:val="24"/>
        </w:rPr>
        <w:t>Fifth, the phenotypic confirmation of ESBL production was not undertaken in this study, despite the high ceftriaxone resistance rate (67.56%) providing inferential grounds for suspecting ESBL-producing phenotypes. Confirmation with combination disk diffusion or molecular detection of ESBL genes would be necessary to definitively characterize this aspect of the resistance profile.</w:t>
      </w:r>
    </w:p>
    <w:p>
      <w:pPr>
        <w:spacing w:before="0" w:after="120" w:line="480" w:lineRule="auto"/>
        <w:jc w:val="both"/>
      </w:pPr>
      <w:r>
        <w:rPr>
          <w:rFonts w:ascii="Times New Roman" w:hAnsi="Times New Roman"/>
          <w:b w:val="0"/>
          <w:i w:val="0"/>
          <w:sz w:val="24"/>
        </w:rPr>
        <w:t>Finally, the study was conducted exclusively in Zaria Metropolis, and the generalizability of findings to other Nigerian cities or to rural poultry manure markets requires independent investigation in those settings.</w:t>
      </w:r>
    </w:p>
    <w:p>
      <w:pPr>
        <w:pStyle w:val="Heading3"/>
        <w:spacing w:before="120" w:after="60" w:line="480" w:lineRule="auto"/>
        <w:jc w:val="left"/>
      </w:pPr>
      <w:r>
        <w:rPr>
          <w:rFonts w:ascii="Times New Roman" w:hAnsi="Times New Roman"/>
          <w:b/>
          <w:i w:val="0"/>
          <w:color w:val="000000"/>
          <w:sz w:val="24"/>
        </w:rPr>
        <w:t>References for Chapter 5</w:t>
      </w:r>
    </w:p>
    <w:p>
      <w:pPr>
        <w:spacing w:before="0" w:after="120" w:line="480" w:lineRule="auto"/>
        <w:jc w:val="both"/>
      </w:pPr>
      <w:r>
        <w:rPr>
          <w:rFonts w:ascii="Times New Roman" w:hAnsi="Times New Roman"/>
          <w:b w:val="0"/>
          <w:i/>
          <w:sz w:val="24"/>
        </w:rPr>
        <w:t>(Full reference list in Chapter 8: References and Appendices)</w:t>
      </w:r>
    </w:p>
    <w:p>
      <w:pPr>
        <w:spacing w:before="0" w:after="120" w:line="480" w:lineRule="auto"/>
        <w:jc w:val="both"/>
      </w:pPr>
      <w:r>
        <w:rPr>
          <w:rFonts w:ascii="Times New Roman" w:hAnsi="Times New Roman"/>
          <w:b/>
          <w:i w:val="0"/>
          <w:sz w:val="24"/>
        </w:rPr>
        <w:t>In-text citations used in this chapter:</w:t>
      </w:r>
    </w:p>
    <w:p>
      <w:pPr>
        <w:pStyle w:val="ListBullet"/>
        <w:spacing w:before="40" w:after="40" w:line="240" w:lineRule="auto"/>
        <w:jc w:val="both"/>
      </w:pPr>
      <w:r>
        <w:rPr>
          <w:rFonts w:ascii="Times New Roman" w:hAnsi="Times New Roman"/>
          <w:b w:val="0"/>
          <w:i w:val="0"/>
          <w:sz w:val="24"/>
        </w:rPr>
        <w:t xml:space="preserve">Abebe et al. (2023): </w:t>
      </w:r>
      <w:r>
        <w:rPr>
          <w:rFonts w:ascii="Times New Roman" w:hAnsi="Times New Roman"/>
          <w:b w:val="0"/>
          <w:i/>
          <w:sz w:val="24"/>
        </w:rPr>
        <w:t>Abebe2023_Occurrence and antimicrobial resistance pattern of E. c.pdf</w:t>
      </w:r>
    </w:p>
    <w:p>
      <w:pPr>
        <w:pStyle w:val="ListBullet"/>
        <w:spacing w:before="40" w:after="40" w:line="240" w:lineRule="auto"/>
        <w:jc w:val="both"/>
      </w:pPr>
      <w:r>
        <w:rPr>
          <w:rFonts w:ascii="Times New Roman" w:hAnsi="Times New Roman"/>
          <w:b w:val="0"/>
          <w:i w:val="0"/>
          <w:sz w:val="24"/>
        </w:rPr>
        <w:t xml:space="preserve">Afunwa et al. (2020): </w:t>
      </w:r>
      <w:r>
        <w:rPr>
          <w:rFonts w:ascii="Times New Roman" w:hAnsi="Times New Roman"/>
          <w:b w:val="0"/>
          <w:i/>
          <w:sz w:val="24"/>
        </w:rPr>
        <w:t>Afunwa2020_Multiple Antibiotic Resistant Index of Gram-Negative Ba.pdf</w:t>
      </w:r>
    </w:p>
    <w:p>
      <w:pPr>
        <w:pStyle w:val="ListBullet"/>
        <w:spacing w:before="40" w:after="40" w:line="240" w:lineRule="auto"/>
        <w:jc w:val="both"/>
      </w:pPr>
      <w:r>
        <w:rPr>
          <w:rFonts w:ascii="Times New Roman" w:hAnsi="Times New Roman"/>
          <w:b w:val="0"/>
          <w:i w:val="0"/>
          <w:sz w:val="24"/>
        </w:rPr>
        <w:t xml:space="preserve">Agusi et al. (2024): </w:t>
      </w:r>
      <w:r>
        <w:rPr>
          <w:rFonts w:ascii="Times New Roman" w:hAnsi="Times New Roman"/>
          <w:b w:val="0"/>
          <w:i/>
          <w:sz w:val="24"/>
        </w:rPr>
        <w:t>Agusi2024_Prevalence of multidrug-resistant Escherichia coli isolates.pdf</w:t>
      </w:r>
    </w:p>
    <w:p>
      <w:pPr>
        <w:pStyle w:val="ListBullet"/>
        <w:spacing w:before="40" w:after="40" w:line="240" w:lineRule="auto"/>
        <w:jc w:val="both"/>
      </w:pPr>
      <w:r>
        <w:rPr>
          <w:rFonts w:ascii="Times New Roman" w:hAnsi="Times New Roman"/>
          <w:b w:val="0"/>
          <w:i w:val="0"/>
          <w:sz w:val="24"/>
        </w:rPr>
        <w:t xml:space="preserve">Antony (2025): </w:t>
      </w:r>
      <w:r>
        <w:rPr>
          <w:rFonts w:ascii="Times New Roman" w:hAnsi="Times New Roman"/>
          <w:b w:val="0"/>
          <w:i/>
          <w:sz w:val="24"/>
        </w:rPr>
        <w:t>Antony2025_IntegronClass1EcoliReadyToEatFoods.pdf</w:t>
      </w:r>
    </w:p>
    <w:p>
      <w:pPr>
        <w:pStyle w:val="ListBullet"/>
        <w:spacing w:before="40" w:after="40" w:line="240" w:lineRule="auto"/>
        <w:jc w:val="both"/>
      </w:pPr>
      <w:r>
        <w:rPr>
          <w:rFonts w:ascii="Times New Roman" w:hAnsi="Times New Roman"/>
          <w:b w:val="0"/>
          <w:i w:val="0"/>
          <w:sz w:val="24"/>
        </w:rPr>
        <w:t xml:space="preserve">Cavicchio et al. (2015): </w:t>
      </w:r>
      <w:r>
        <w:rPr>
          <w:rFonts w:ascii="Times New Roman" w:hAnsi="Times New Roman"/>
          <w:b w:val="0"/>
          <w:i/>
          <w:sz w:val="24"/>
        </w:rPr>
        <w:t>Cavicchio2015_Class 1 and class 2 integrons in avian pathogenic Esche.pdf</w:t>
      </w:r>
    </w:p>
    <w:p>
      <w:pPr>
        <w:pStyle w:val="ListBullet"/>
        <w:spacing w:before="40" w:after="40" w:line="240" w:lineRule="auto"/>
        <w:jc w:val="both"/>
      </w:pPr>
      <w:r>
        <w:rPr>
          <w:rFonts w:ascii="Times New Roman" w:hAnsi="Times New Roman"/>
          <w:b w:val="0"/>
          <w:i w:val="0"/>
          <w:sz w:val="24"/>
        </w:rPr>
        <w:t>Cheesbrough (2006) ⚑: standard laboratory manual</w:t>
      </w:r>
    </w:p>
    <w:p>
      <w:pPr>
        <w:pStyle w:val="ListBullet"/>
        <w:spacing w:before="40" w:after="40" w:line="240" w:lineRule="auto"/>
        <w:jc w:val="both"/>
      </w:pPr>
      <w:r>
        <w:rPr>
          <w:rFonts w:ascii="Times New Roman" w:hAnsi="Times New Roman"/>
          <w:b w:val="0"/>
          <w:i w:val="0"/>
          <w:sz w:val="24"/>
        </w:rPr>
        <w:t xml:space="preserve">Ejeh et al. (2017): </w:t>
      </w:r>
      <w:r>
        <w:rPr>
          <w:rFonts w:ascii="Times New Roman" w:hAnsi="Times New Roman"/>
          <w:b w:val="0"/>
          <w:i/>
          <w:sz w:val="24"/>
        </w:rPr>
        <w:t>Ejeh2017.pdf</w:t>
      </w:r>
    </w:p>
    <w:p>
      <w:pPr>
        <w:pStyle w:val="ListBullet"/>
        <w:spacing w:before="40" w:after="40" w:line="240" w:lineRule="auto"/>
        <w:jc w:val="both"/>
      </w:pPr>
      <w:r>
        <w:rPr>
          <w:rFonts w:ascii="Times New Roman" w:hAnsi="Times New Roman"/>
          <w:b w:val="0"/>
          <w:i w:val="0"/>
          <w:sz w:val="24"/>
        </w:rPr>
        <w:t xml:space="preserve">Fair &amp; Tor (2014): </w:t>
      </w:r>
      <w:r>
        <w:rPr>
          <w:rFonts w:ascii="Times New Roman" w:hAnsi="Times New Roman"/>
          <w:b w:val="0"/>
          <w:i/>
          <w:sz w:val="24"/>
        </w:rPr>
        <w:t>Fair2014.pdf</w:t>
      </w:r>
    </w:p>
    <w:p>
      <w:pPr>
        <w:pStyle w:val="ListBullet"/>
        <w:spacing w:before="40" w:after="40" w:line="240" w:lineRule="auto"/>
        <w:jc w:val="both"/>
      </w:pPr>
      <w:r>
        <w:rPr>
          <w:rFonts w:ascii="Times New Roman" w:hAnsi="Times New Roman"/>
          <w:b w:val="0"/>
          <w:i w:val="0"/>
          <w:sz w:val="24"/>
        </w:rPr>
        <w:t xml:space="preserve">Falgenhauer et al. (2019): </w:t>
      </w:r>
      <w:r>
        <w:rPr>
          <w:rFonts w:ascii="Times New Roman" w:hAnsi="Times New Roman"/>
          <w:b w:val="0"/>
          <w:i/>
          <w:sz w:val="24"/>
        </w:rPr>
        <w:t>Falgenhauer2019_Detection and Characterization of ESBL-Producing Escher.pdf</w:t>
      </w:r>
    </w:p>
    <w:p>
      <w:pPr>
        <w:pStyle w:val="ListBullet"/>
        <w:spacing w:before="40" w:after="40" w:line="240" w:lineRule="auto"/>
        <w:jc w:val="both"/>
      </w:pPr>
      <w:r>
        <w:rPr>
          <w:rFonts w:ascii="Times New Roman" w:hAnsi="Times New Roman"/>
          <w:b w:val="0"/>
          <w:i w:val="0"/>
          <w:sz w:val="24"/>
        </w:rPr>
        <w:t xml:space="preserve">Fonseca et al. (2005): </w:t>
      </w:r>
      <w:r>
        <w:rPr>
          <w:rFonts w:ascii="Times New Roman" w:hAnsi="Times New Roman"/>
          <w:b w:val="0"/>
          <w:i/>
          <w:sz w:val="24"/>
        </w:rPr>
        <w:t>Fonseca2005_intgr.pdf</w:t>
      </w:r>
    </w:p>
    <w:p>
      <w:pPr>
        <w:pStyle w:val="ListBullet"/>
        <w:spacing w:before="40" w:after="40" w:line="240" w:lineRule="auto"/>
        <w:jc w:val="both"/>
      </w:pPr>
      <w:r>
        <w:rPr>
          <w:rFonts w:ascii="Times New Roman" w:hAnsi="Times New Roman"/>
          <w:b w:val="0"/>
          <w:i w:val="0"/>
          <w:sz w:val="24"/>
        </w:rPr>
        <w:t xml:space="preserve">Goldstein et al. (2001): </w:t>
      </w:r>
      <w:r>
        <w:rPr>
          <w:rFonts w:ascii="Times New Roman" w:hAnsi="Times New Roman"/>
          <w:b w:val="0"/>
          <w:i/>
          <w:sz w:val="24"/>
        </w:rPr>
        <w:t>Goldstein2001.pdf</w:t>
      </w:r>
    </w:p>
    <w:p>
      <w:pPr>
        <w:pStyle w:val="ListBullet"/>
        <w:spacing w:before="40" w:after="40" w:line="240" w:lineRule="auto"/>
        <w:jc w:val="both"/>
      </w:pPr>
      <w:r>
        <w:rPr>
          <w:rFonts w:ascii="Times New Roman" w:hAnsi="Times New Roman"/>
          <w:b w:val="0"/>
          <w:i w:val="0"/>
          <w:sz w:val="24"/>
        </w:rPr>
        <w:t xml:space="preserve">He et al. (2020): </w:t>
      </w:r>
      <w:r>
        <w:rPr>
          <w:rFonts w:ascii="Times New Roman" w:hAnsi="Times New Roman"/>
          <w:b w:val="0"/>
          <w:i/>
          <w:sz w:val="24"/>
        </w:rPr>
        <w:t>He2020_Antibiotic resistance genes from livestock waste_ occur.pdf</w:t>
      </w:r>
    </w:p>
    <w:p>
      <w:pPr>
        <w:pStyle w:val="ListBullet"/>
        <w:spacing w:before="40" w:after="40" w:line="240" w:lineRule="auto"/>
        <w:jc w:val="both"/>
      </w:pPr>
      <w:r>
        <w:rPr>
          <w:rFonts w:ascii="Times New Roman" w:hAnsi="Times New Roman"/>
          <w:b w:val="0"/>
          <w:i w:val="0"/>
          <w:sz w:val="24"/>
        </w:rPr>
        <w:t xml:space="preserve">Hedman et al. (2020): </w:t>
      </w:r>
      <w:r>
        <w:rPr>
          <w:rFonts w:ascii="Times New Roman" w:hAnsi="Times New Roman"/>
          <w:b w:val="0"/>
          <w:i/>
          <w:sz w:val="24"/>
        </w:rPr>
        <w:t>Hedman2020.pdf</w:t>
      </w:r>
    </w:p>
    <w:p>
      <w:pPr>
        <w:pStyle w:val="ListBullet"/>
        <w:spacing w:before="40" w:after="40" w:line="240" w:lineRule="auto"/>
        <w:jc w:val="both"/>
      </w:pPr>
      <w:r>
        <w:rPr>
          <w:rFonts w:ascii="Times New Roman" w:hAnsi="Times New Roman"/>
          <w:b w:val="0"/>
          <w:i w:val="0"/>
          <w:sz w:val="24"/>
        </w:rPr>
        <w:t xml:space="preserve">Heuer et al. (2011): </w:t>
      </w:r>
      <w:r>
        <w:rPr>
          <w:rFonts w:ascii="Times New Roman" w:hAnsi="Times New Roman"/>
          <w:b w:val="0"/>
          <w:i/>
          <w:sz w:val="24"/>
        </w:rPr>
        <w:t>Heuer2011.pdf</w:t>
      </w:r>
    </w:p>
    <w:p>
      <w:pPr>
        <w:pStyle w:val="ListBullet"/>
        <w:spacing w:before="40" w:after="40" w:line="240" w:lineRule="auto"/>
        <w:jc w:val="both"/>
      </w:pPr>
      <w:r>
        <w:rPr>
          <w:rFonts w:ascii="Times New Roman" w:hAnsi="Times New Roman"/>
          <w:b w:val="0"/>
          <w:i w:val="0"/>
          <w:sz w:val="24"/>
        </w:rPr>
        <w:t xml:space="preserve">Jechalke et al. (2013): </w:t>
      </w:r>
      <w:r>
        <w:rPr>
          <w:rFonts w:ascii="Times New Roman" w:hAnsi="Times New Roman"/>
          <w:b w:val="0"/>
          <w:i/>
          <w:sz w:val="24"/>
        </w:rPr>
        <w:t>Jechalke2013.pdf</w:t>
      </w:r>
    </w:p>
    <w:p>
      <w:pPr>
        <w:pStyle w:val="ListBullet"/>
        <w:spacing w:before="40" w:after="40" w:line="240" w:lineRule="auto"/>
        <w:jc w:val="both"/>
      </w:pPr>
      <w:r>
        <w:rPr>
          <w:rFonts w:ascii="Times New Roman" w:hAnsi="Times New Roman"/>
          <w:b w:val="0"/>
          <w:i w:val="0"/>
          <w:sz w:val="24"/>
        </w:rPr>
        <w:t xml:space="preserve">Kilani et al. (2015): </w:t>
      </w:r>
      <w:r>
        <w:rPr>
          <w:rFonts w:ascii="Times New Roman" w:hAnsi="Times New Roman"/>
          <w:b w:val="0"/>
          <w:i/>
          <w:sz w:val="24"/>
        </w:rPr>
        <w:t>Kilani2015_Occurrence of blaCTX-M-1,qnrB1 and virulence genes in a.pdf</w:t>
      </w:r>
    </w:p>
    <w:p>
      <w:pPr>
        <w:pStyle w:val="ListBullet"/>
        <w:spacing w:before="40" w:after="40" w:line="240" w:lineRule="auto"/>
        <w:jc w:val="both"/>
      </w:pPr>
      <w:r>
        <w:rPr>
          <w:rFonts w:ascii="Times New Roman" w:hAnsi="Times New Roman"/>
          <w:b w:val="0"/>
          <w:i w:val="0"/>
          <w:sz w:val="24"/>
        </w:rPr>
        <w:t xml:space="preserve">Lambraki et al. (2017): </w:t>
      </w:r>
      <w:r>
        <w:rPr>
          <w:rFonts w:ascii="Times New Roman" w:hAnsi="Times New Roman"/>
          <w:b w:val="0"/>
          <w:i/>
          <w:sz w:val="24"/>
        </w:rPr>
        <w:t>WestAfricaAMR2017.pdf</w:t>
      </w:r>
    </w:p>
    <w:p>
      <w:pPr>
        <w:pStyle w:val="ListBullet"/>
        <w:spacing w:before="40" w:after="40" w:line="240" w:lineRule="auto"/>
        <w:jc w:val="both"/>
      </w:pPr>
      <w:r>
        <w:rPr>
          <w:rFonts w:ascii="Times New Roman" w:hAnsi="Times New Roman"/>
          <w:b w:val="0"/>
          <w:i w:val="0"/>
          <w:sz w:val="24"/>
        </w:rPr>
        <w:t xml:space="preserve">Maciel-Guerra et al. (2022): </w:t>
      </w:r>
      <w:r>
        <w:rPr>
          <w:rFonts w:ascii="Times New Roman" w:hAnsi="Times New Roman"/>
          <w:b w:val="0"/>
          <w:i/>
          <w:sz w:val="24"/>
        </w:rPr>
        <w:t>Maciel-Guerra2022_Dissecting microbial communities and resistomes for int.pdf</w:t>
      </w:r>
    </w:p>
    <w:p>
      <w:pPr>
        <w:pStyle w:val="ListBullet"/>
        <w:spacing w:before="40" w:after="40" w:line="240" w:lineRule="auto"/>
        <w:jc w:val="both"/>
      </w:pPr>
      <w:r>
        <w:rPr>
          <w:rFonts w:ascii="Times New Roman" w:hAnsi="Times New Roman"/>
          <w:b w:val="0"/>
          <w:i w:val="0"/>
          <w:sz w:val="24"/>
        </w:rPr>
        <w:t xml:space="preserve">Marti et al. (2013): </w:t>
      </w:r>
      <w:r>
        <w:rPr>
          <w:rFonts w:ascii="Times New Roman" w:hAnsi="Times New Roman"/>
          <w:b w:val="0"/>
          <w:i/>
          <w:sz w:val="24"/>
        </w:rPr>
        <w:t>Marti2013.pdf</w:t>
      </w:r>
    </w:p>
    <w:p>
      <w:pPr>
        <w:pStyle w:val="ListBullet"/>
        <w:spacing w:before="40" w:after="40" w:line="240" w:lineRule="auto"/>
        <w:jc w:val="both"/>
      </w:pPr>
      <w:r>
        <w:rPr>
          <w:rFonts w:ascii="Times New Roman" w:hAnsi="Times New Roman"/>
          <w:b w:val="0"/>
          <w:i w:val="0"/>
          <w:sz w:val="24"/>
        </w:rPr>
        <w:t xml:space="preserve">Mbelle et al. (2019): </w:t>
      </w:r>
      <w:r>
        <w:rPr>
          <w:rFonts w:ascii="Times New Roman" w:hAnsi="Times New Roman"/>
          <w:b w:val="0"/>
          <w:i/>
          <w:sz w:val="24"/>
        </w:rPr>
        <w:t>Mbelle2019.pdf</w:t>
      </w:r>
    </w:p>
    <w:p>
      <w:pPr>
        <w:pStyle w:val="ListBullet"/>
        <w:spacing w:before="40" w:after="40" w:line="240" w:lineRule="auto"/>
        <w:jc w:val="both"/>
      </w:pPr>
      <w:r>
        <w:rPr>
          <w:rFonts w:ascii="Times New Roman" w:hAnsi="Times New Roman"/>
          <w:b w:val="0"/>
          <w:i w:val="0"/>
          <w:sz w:val="24"/>
        </w:rPr>
        <w:t xml:space="preserve">Moffo et al. (2021): </w:t>
      </w:r>
      <w:r>
        <w:rPr>
          <w:rFonts w:ascii="Times New Roman" w:hAnsi="Times New Roman"/>
          <w:b w:val="0"/>
          <w:i/>
          <w:sz w:val="24"/>
        </w:rPr>
        <w:t>Moffo2021.pdf</w:t>
      </w:r>
    </w:p>
    <w:p>
      <w:pPr>
        <w:pStyle w:val="ListBullet"/>
        <w:spacing w:before="40" w:after="40" w:line="240" w:lineRule="auto"/>
        <w:jc w:val="both"/>
      </w:pPr>
      <w:r>
        <w:rPr>
          <w:rFonts w:ascii="Times New Roman" w:hAnsi="Times New Roman"/>
          <w:b w:val="0"/>
          <w:i w:val="0"/>
          <w:sz w:val="24"/>
        </w:rPr>
        <w:t xml:space="preserve">Moremi et al. (2016): </w:t>
      </w:r>
      <w:r>
        <w:rPr>
          <w:rFonts w:ascii="Times New Roman" w:hAnsi="Times New Roman"/>
          <w:b w:val="0"/>
          <w:i/>
          <w:sz w:val="24"/>
        </w:rPr>
        <w:t>Moremi2016_Predominance of CTX-M-15 among ESBL Producers from Envi.pdf</w:t>
      </w:r>
    </w:p>
    <w:p>
      <w:pPr>
        <w:pStyle w:val="ListBullet"/>
        <w:spacing w:before="40" w:after="40" w:line="240" w:lineRule="auto"/>
        <w:jc w:val="both"/>
      </w:pPr>
      <w:r>
        <w:rPr>
          <w:rFonts w:ascii="Times New Roman" w:hAnsi="Times New Roman"/>
          <w:b w:val="0"/>
          <w:i w:val="0"/>
          <w:sz w:val="24"/>
        </w:rPr>
        <w:t xml:space="preserve">Murray et al. (2022): </w:t>
      </w:r>
      <w:r>
        <w:rPr>
          <w:rFonts w:ascii="Times New Roman" w:hAnsi="Times New Roman"/>
          <w:b w:val="0"/>
          <w:i/>
          <w:sz w:val="24"/>
        </w:rPr>
        <w:t>Murray2022.pdf</w:t>
      </w:r>
    </w:p>
    <w:p>
      <w:pPr>
        <w:pStyle w:val="ListBullet"/>
        <w:spacing w:before="40" w:after="40" w:line="240" w:lineRule="auto"/>
        <w:jc w:val="both"/>
      </w:pPr>
      <w:r>
        <w:rPr>
          <w:rFonts w:ascii="Times New Roman" w:hAnsi="Times New Roman"/>
          <w:b w:val="0"/>
          <w:i w:val="0"/>
          <w:sz w:val="24"/>
        </w:rPr>
        <w:t xml:space="preserve">Ngogang et al. (2021): </w:t>
      </w:r>
      <w:r>
        <w:rPr>
          <w:rFonts w:ascii="Times New Roman" w:hAnsi="Times New Roman"/>
          <w:b w:val="0"/>
          <w:i/>
          <w:sz w:val="24"/>
        </w:rPr>
        <w:t>Ngogang2021.pdf</w:t>
      </w:r>
    </w:p>
    <w:p>
      <w:pPr>
        <w:pStyle w:val="ListBullet"/>
        <w:spacing w:before="40" w:after="40" w:line="240" w:lineRule="auto"/>
        <w:jc w:val="both"/>
      </w:pPr>
      <w:r>
        <w:rPr>
          <w:rFonts w:ascii="Times New Roman" w:hAnsi="Times New Roman"/>
          <w:b w:val="0"/>
          <w:i w:val="0"/>
          <w:sz w:val="24"/>
        </w:rPr>
        <w:t xml:space="preserve">Okoye et al. (2025): </w:t>
      </w:r>
      <w:r>
        <w:rPr>
          <w:rFonts w:ascii="Times New Roman" w:hAnsi="Times New Roman"/>
          <w:b w:val="0"/>
          <w:i/>
          <w:sz w:val="24"/>
        </w:rPr>
        <w:t>Ekpunobi2025_Prevalence of Multidrug-Resistant Escherichia coli O157_H7 i.pdf</w:t>
      </w:r>
    </w:p>
    <w:p>
      <w:pPr>
        <w:pStyle w:val="ListBullet"/>
        <w:spacing w:before="40" w:after="40" w:line="240" w:lineRule="auto"/>
        <w:jc w:val="both"/>
      </w:pPr>
      <w:r>
        <w:rPr>
          <w:rFonts w:ascii="Times New Roman" w:hAnsi="Times New Roman"/>
          <w:b w:val="0"/>
          <w:i w:val="0"/>
          <w:sz w:val="24"/>
        </w:rPr>
        <w:t xml:space="preserve">Oluwasile et al. (2014): </w:t>
      </w:r>
      <w:r>
        <w:rPr>
          <w:rFonts w:ascii="Times New Roman" w:hAnsi="Times New Roman"/>
          <w:b w:val="0"/>
          <w:i/>
          <w:sz w:val="24"/>
        </w:rPr>
        <w:t>Oluwasile2014.pdf</w:t>
      </w:r>
    </w:p>
    <w:p>
      <w:pPr>
        <w:pStyle w:val="ListBullet"/>
        <w:spacing w:before="40" w:after="40" w:line="240" w:lineRule="auto"/>
        <w:jc w:val="both"/>
      </w:pPr>
      <w:r>
        <w:rPr>
          <w:rFonts w:ascii="Times New Roman" w:hAnsi="Times New Roman"/>
          <w:b w:val="0"/>
          <w:i w:val="0"/>
          <w:sz w:val="24"/>
        </w:rPr>
        <w:t xml:space="preserve">Racewicz et al. (2022): </w:t>
      </w:r>
      <w:r>
        <w:rPr>
          <w:rFonts w:ascii="Times New Roman" w:hAnsi="Times New Roman"/>
          <w:b w:val="0"/>
          <w:i/>
          <w:sz w:val="24"/>
        </w:rPr>
        <w:t>Racewicz2022_Prevalence and characterisation of antimicrobial resist.pdf</w:t>
      </w:r>
    </w:p>
    <w:p>
      <w:pPr>
        <w:pStyle w:val="ListBullet"/>
        <w:spacing w:before="40" w:after="40" w:line="240" w:lineRule="auto"/>
        <w:jc w:val="both"/>
      </w:pPr>
      <w:r>
        <w:rPr>
          <w:rFonts w:ascii="Times New Roman" w:hAnsi="Times New Roman"/>
          <w:b w:val="0"/>
          <w:i w:val="0"/>
          <w:sz w:val="24"/>
        </w:rPr>
        <w:t xml:space="preserve">Roe &amp; Pillai (2003): </w:t>
      </w:r>
      <w:r>
        <w:rPr>
          <w:rFonts w:ascii="Times New Roman" w:hAnsi="Times New Roman"/>
          <w:b w:val="0"/>
          <w:i/>
          <w:sz w:val="24"/>
        </w:rPr>
        <w:t>Roe2003.pdf</w:t>
      </w:r>
    </w:p>
    <w:p>
      <w:pPr>
        <w:pStyle w:val="ListBullet"/>
        <w:spacing w:before="40" w:after="40" w:line="240" w:lineRule="auto"/>
        <w:jc w:val="both"/>
      </w:pPr>
      <w:r>
        <w:rPr>
          <w:rFonts w:ascii="Times New Roman" w:hAnsi="Times New Roman"/>
          <w:b w:val="0"/>
          <w:i w:val="0"/>
          <w:sz w:val="24"/>
        </w:rPr>
        <w:t xml:space="preserve">Tama et al. (2019): </w:t>
      </w:r>
      <w:r>
        <w:rPr>
          <w:rFonts w:ascii="Times New Roman" w:hAnsi="Times New Roman"/>
          <w:b w:val="0"/>
          <w:i/>
          <w:sz w:val="24"/>
        </w:rPr>
        <w:t>Tama2019.pdf</w:t>
      </w:r>
    </w:p>
    <w:p>
      <w:pPr>
        <w:pStyle w:val="ListBullet"/>
        <w:spacing w:before="40" w:after="40" w:line="240" w:lineRule="auto"/>
        <w:jc w:val="both"/>
      </w:pPr>
      <w:r>
        <w:rPr>
          <w:rFonts w:ascii="Times New Roman" w:hAnsi="Times New Roman"/>
          <w:b w:val="0"/>
          <w:i w:val="0"/>
          <w:sz w:val="24"/>
        </w:rPr>
        <w:t xml:space="preserve">Van Boeckel et al. (2015): </w:t>
      </w:r>
      <w:r>
        <w:rPr>
          <w:rFonts w:ascii="Times New Roman" w:hAnsi="Times New Roman"/>
          <w:b w:val="0"/>
          <w:i/>
          <w:sz w:val="24"/>
        </w:rPr>
        <w:t>VanBoeckel2015.pdf</w:t>
      </w:r>
    </w:p>
    <w:p>
      <w:pPr>
        <w:pStyle w:val="ListBullet"/>
        <w:spacing w:before="40" w:after="40" w:line="240" w:lineRule="auto"/>
        <w:jc w:val="both"/>
      </w:pPr>
      <w:r>
        <w:rPr>
          <w:rFonts w:ascii="Times New Roman" w:hAnsi="Times New Roman"/>
          <w:b w:val="0"/>
          <w:i w:val="0"/>
          <w:sz w:val="24"/>
        </w:rPr>
        <w:t xml:space="preserve">Wang et al. (2021): </w:t>
      </w:r>
      <w:r>
        <w:rPr>
          <w:rFonts w:ascii="Times New Roman" w:hAnsi="Times New Roman"/>
          <w:b w:val="0"/>
          <w:i/>
          <w:sz w:val="24"/>
        </w:rPr>
        <w:t>Wang2021_Antibiotic resistance in the soil ecosystem_ A One Heal.pdf</w:t>
      </w:r>
    </w:p>
    <w:p>
      <w:pPr>
        <w:pStyle w:val="ListBullet"/>
        <w:spacing w:before="40" w:after="40" w:line="240" w:lineRule="auto"/>
        <w:jc w:val="both"/>
      </w:pPr>
      <w:r>
        <w:rPr>
          <w:rFonts w:ascii="Times New Roman" w:hAnsi="Times New Roman"/>
          <w:b w:val="0"/>
          <w:i w:val="0"/>
          <w:sz w:val="24"/>
        </w:rPr>
        <w:t xml:space="preserve">Wang et al. (2023): </w:t>
      </w:r>
      <w:r>
        <w:rPr>
          <w:rFonts w:ascii="Times New Roman" w:hAnsi="Times New Roman"/>
          <w:b w:val="0"/>
          <w:i/>
          <w:sz w:val="24"/>
        </w:rPr>
        <w:t>Wang2023_Cooperative antibiotic resistance facilitates horizontal gen.pdf</w:t>
      </w:r>
    </w:p>
    <w:p>
      <w:pPr>
        <w:pStyle w:val="ListBullet"/>
        <w:spacing w:before="40" w:after="40" w:line="240" w:lineRule="auto"/>
        <w:jc w:val="both"/>
      </w:pPr>
      <w:r>
        <w:rPr>
          <w:rFonts w:ascii="Times New Roman" w:hAnsi="Times New Roman"/>
          <w:b w:val="0"/>
          <w:i w:val="0"/>
          <w:sz w:val="24"/>
        </w:rPr>
        <w:t xml:space="preserve">Wu et al. (2015): </w:t>
      </w:r>
      <w:r>
        <w:rPr>
          <w:rFonts w:ascii="Times New Roman" w:hAnsi="Times New Roman"/>
          <w:b w:val="0"/>
          <w:i/>
          <w:sz w:val="24"/>
        </w:rPr>
        <w:t>Wu2015_Identification of integrons and phylogenetic groups of.pdf</w:t>
      </w:r>
    </w:p>
    <w:p>
      <w:pPr>
        <w:pStyle w:val="ListBullet"/>
        <w:spacing w:before="40" w:after="40" w:line="240" w:lineRule="auto"/>
        <w:jc w:val="both"/>
      </w:pPr>
      <w:r>
        <w:rPr>
          <w:rFonts w:ascii="Times New Roman" w:hAnsi="Times New Roman"/>
          <w:b w:val="0"/>
          <w:i w:val="0"/>
          <w:sz w:val="24"/>
        </w:rPr>
        <w:t xml:space="preserve">Yakubu et al. (2020): </w:t>
      </w:r>
      <w:r>
        <w:rPr>
          <w:rFonts w:ascii="Times New Roman" w:hAnsi="Times New Roman"/>
          <w:b w:val="0"/>
          <w:i/>
          <w:sz w:val="24"/>
        </w:rPr>
        <w:t>Yakubu2020_Isolation, Molecular Detection and Antimicrobial Susceptibil.pdf</w:t>
      </w:r>
    </w:p>
    <w:p>
      <w:r>
        <w:br w:type="page"/>
      </w:r>
    </w:p>
    <w:p>
      <w:pPr>
        <w:pStyle w:val="Heading1"/>
        <w:spacing w:before="240" w:after="120" w:line="480" w:lineRule="auto"/>
        <w:jc w:val="center"/>
      </w:pPr>
      <w:r>
        <w:rPr>
          <w:rFonts w:ascii="Times New Roman" w:hAnsi="Times New Roman"/>
          <w:b/>
          <w:i w:val="0"/>
          <w:color w:val="000000"/>
          <w:sz w:val="28"/>
        </w:rPr>
        <w:t>CHAPTER SIX</w:t>
      </w:r>
    </w:p>
    <w:p>
      <w:pPr>
        <w:pStyle w:val="Heading2"/>
        <w:spacing w:before="240" w:after="120" w:line="480" w:lineRule="auto"/>
        <w:jc w:val="left"/>
      </w:pPr>
      <w:r>
        <w:rPr>
          <w:rFonts w:ascii="Times New Roman" w:hAnsi="Times New Roman"/>
          <w:b/>
          <w:i w:val="0"/>
          <w:color w:val="000000"/>
          <w:sz w:val="24"/>
        </w:rPr>
        <w:t>SUMMARY, CONCLUSION AND RECOMMENDATIONS</w:t>
      </w:r>
    </w:p>
    <w:p>
      <w:pPr>
        <w:pStyle w:val="Heading3"/>
        <w:spacing w:before="120" w:after="60" w:line="480" w:lineRule="auto"/>
        <w:jc w:val="left"/>
      </w:pPr>
      <w:r>
        <w:rPr>
          <w:rFonts w:ascii="Times New Roman" w:hAnsi="Times New Roman"/>
          <w:b/>
          <w:i w:val="0"/>
          <w:color w:val="000000"/>
          <w:sz w:val="24"/>
        </w:rPr>
        <w:t>6.1 Summary</w:t>
      </w:r>
    </w:p>
    <w:p>
      <w:pPr>
        <w:spacing w:before="0" w:after="120" w:line="480" w:lineRule="auto"/>
        <w:jc w:val="both"/>
      </w:pPr>
      <w:r>
        <w:rPr>
          <w:rFonts w:ascii="Times New Roman" w:hAnsi="Times New Roman"/>
          <w:b w:val="0"/>
          <w:i w:val="0"/>
          <w:sz w:val="24"/>
        </w:rPr>
        <w:t xml:space="preserve">Antimicrobial resistance (AMR) has emerged as one of the most urgent global public health crises of the twenty-first century, with the burden of drug-resistant bacterial infections projected to cause up to 10 million deaths annually by 2050 if left unaddressed. Within the One Health framework, which recognizes the inextricable links between human health, animal health, and the environment, the food-animal production sector, and commercial poultry production in particular, has been identified as a major driver of AMR emergence and environmental dissemination. Poultry manure from commercial vendors, traded informally in Nigerian urban markets and applied without treatment to agricultural soils, represents an understudied but ecologically significant reservoir of multidrug-resistant bacteria and resistance gene vectors, particularly integrons. Despite this recognized risk, no study prior to the present investigation had systematically characterized MDR </w:t>
      </w:r>
      <w:r>
        <w:rPr>
          <w:rFonts w:ascii="Times New Roman" w:hAnsi="Times New Roman"/>
          <w:b w:val="0"/>
          <w:i/>
          <w:sz w:val="24"/>
        </w:rPr>
        <w:t>Escherichia coli</w:t>
      </w:r>
      <w:r>
        <w:rPr>
          <w:rFonts w:ascii="Times New Roman" w:hAnsi="Times New Roman"/>
          <w:b w:val="0"/>
          <w:i w:val="0"/>
          <w:sz w:val="24"/>
        </w:rPr>
        <w:t xml:space="preserve"> and integron carriage in vendor-sourced commercial poultry manure from any urban centre in North-West Nigeria.</w:t>
      </w:r>
    </w:p>
    <w:p>
      <w:pPr>
        <w:spacing w:before="0" w:after="120" w:line="480" w:lineRule="auto"/>
        <w:jc w:val="both"/>
      </w:pPr>
      <w:r>
        <w:rPr>
          <w:rFonts w:ascii="Times New Roman" w:hAnsi="Times New Roman"/>
          <w:b w:val="0"/>
          <w:i w:val="0"/>
          <w:sz w:val="24"/>
        </w:rPr>
        <w:t xml:space="preserve">This study was designed to address that gap by pursuing three specific objectives: (1) to isolate antimicrobial resistant </w:t>
      </w:r>
      <w:r>
        <w:rPr>
          <w:rFonts w:ascii="Times New Roman" w:hAnsi="Times New Roman"/>
          <w:b w:val="0"/>
          <w:i/>
          <w:sz w:val="24"/>
        </w:rPr>
        <w:t>Escherichia coli</w:t>
      </w:r>
      <w:r>
        <w:rPr>
          <w:rFonts w:ascii="Times New Roman" w:hAnsi="Times New Roman"/>
          <w:b w:val="0"/>
          <w:i w:val="0"/>
          <w:sz w:val="24"/>
        </w:rPr>
        <w:t xml:space="preserve"> from commercial poultry manure obtained from vendors in Zaria; (2) to determine the proportion of </w:t>
      </w:r>
      <w:r>
        <w:rPr>
          <w:rFonts w:ascii="Times New Roman" w:hAnsi="Times New Roman"/>
          <w:b w:val="0"/>
          <w:i/>
          <w:sz w:val="24"/>
        </w:rPr>
        <w:t>E. coli</w:t>
      </w:r>
      <w:r>
        <w:rPr>
          <w:rFonts w:ascii="Times New Roman" w:hAnsi="Times New Roman"/>
          <w:b w:val="0"/>
          <w:i w:val="0"/>
          <w:sz w:val="24"/>
        </w:rPr>
        <w:t xml:space="preserve"> isolates that were multidrug resistant; and (3) to detect the presence of Class I and Class II integrons in the multidrug-resistant </w:t>
      </w:r>
      <w:r>
        <w:rPr>
          <w:rFonts w:ascii="Times New Roman" w:hAnsi="Times New Roman"/>
          <w:b w:val="0"/>
          <w:i/>
          <w:sz w:val="24"/>
        </w:rPr>
        <w:t>E. coli</w:t>
      </w:r>
      <w:r>
        <w:rPr>
          <w:rFonts w:ascii="Times New Roman" w:hAnsi="Times New Roman"/>
          <w:b w:val="0"/>
          <w:i w:val="0"/>
          <w:sz w:val="24"/>
        </w:rPr>
        <w:t xml:space="preserve"> isolates.</w:t>
      </w:r>
    </w:p>
    <w:p>
      <w:pPr>
        <w:spacing w:before="0" w:after="120" w:line="480" w:lineRule="auto"/>
        <w:jc w:val="both"/>
      </w:pPr>
      <w:r>
        <w:rPr>
          <w:rFonts w:ascii="Times New Roman" w:hAnsi="Times New Roman"/>
          <w:b w:val="0"/>
          <w:i w:val="0"/>
          <w:sz w:val="24"/>
        </w:rPr>
        <w:t xml:space="preserve">A cross-sectional study was conducted across eight designated commercial poultry manure vendor locations in Zaria Metropolis, spanning Zaria and Sabon Gari Local Government Areas, Kaduna State, North-West Nigeria. A total of 152 poultry manure samples were collected aseptically and transported to the Bacterial Zoonoses Laboratory, Department of Veterinary Public Health and Preventive Medicine, Ahmadu Bello University, Zaria, for microbiological analysis. </w:t>
      </w:r>
      <w:r>
        <w:rPr>
          <w:rFonts w:ascii="Times New Roman" w:hAnsi="Times New Roman"/>
          <w:b w:val="0"/>
          <w:i/>
          <w:sz w:val="24"/>
        </w:rPr>
        <w:t>E. coli</w:t>
      </w:r>
      <w:r>
        <w:rPr>
          <w:rFonts w:ascii="Times New Roman" w:hAnsi="Times New Roman"/>
          <w:b w:val="0"/>
          <w:i w:val="0"/>
          <w:sz w:val="24"/>
        </w:rPr>
        <w:t xml:space="preserve"> was isolated by culture on Eosin Methylene Blue (EMB) agar, confirmed by standard biochemical tests (Triple Sugar Iron, Simmons Citrate, Urease, SIM, MR-VP), and definitively identified by PCR amplification of the </w:t>
      </w:r>
      <w:r>
        <w:rPr>
          <w:rFonts w:ascii="Times New Roman" w:hAnsi="Times New Roman"/>
          <w:b w:val="0"/>
          <w:i/>
          <w:sz w:val="24"/>
        </w:rPr>
        <w:t>E. coli</w:t>
      </w:r>
      <w:r>
        <w:rPr>
          <w:rFonts w:ascii="Times New Roman" w:hAnsi="Times New Roman"/>
          <w:b w:val="0"/>
          <w:i w:val="0"/>
          <w:sz w:val="24"/>
        </w:rPr>
        <w:t xml:space="preserve">-specific 16S rRNA gene. Antibiotic susceptibility was determined by the Kirby-Bauer disk diffusion method using a panel of ten antibiotics in accordance with CLSI (2024) guidelines, and multidrug resistance status was quantified using the Multiple Antibiotic Resistance (MAR) index (threshold &gt;0.2). Class I and Class II integrons were detected by conventional PCR using established primer pairs (Fonseca et al., 2005; Goldstein et al., 2001) targeting the </w:t>
      </w:r>
      <w:r>
        <w:rPr>
          <w:rFonts w:ascii="Times New Roman" w:hAnsi="Times New Roman"/>
          <w:b w:val="0"/>
          <w:i/>
          <w:sz w:val="24"/>
        </w:rPr>
        <w:t>intI1</w:t>
      </w:r>
      <w:r>
        <w:rPr>
          <w:rFonts w:ascii="Times New Roman" w:hAnsi="Times New Roman"/>
          <w:b w:val="0"/>
          <w:i w:val="0"/>
          <w:sz w:val="24"/>
        </w:rPr>
        <w:t xml:space="preserve"> (expected amplicon 1,100 bp) and </w:t>
      </w:r>
      <w:r>
        <w:rPr>
          <w:rFonts w:ascii="Times New Roman" w:hAnsi="Times New Roman"/>
          <w:b w:val="0"/>
          <w:i/>
          <w:sz w:val="24"/>
        </w:rPr>
        <w:t>intI2</w:t>
      </w:r>
      <w:r>
        <w:rPr>
          <w:rFonts w:ascii="Times New Roman" w:hAnsi="Times New Roman"/>
          <w:b w:val="0"/>
          <w:i w:val="0"/>
          <w:sz w:val="24"/>
        </w:rPr>
        <w:t xml:space="preserve"> (expected amplicon 233 bp) integrase genes respectively.</w:t>
      </w:r>
    </w:p>
    <w:p>
      <w:pPr>
        <w:spacing w:before="0" w:after="120" w:line="480" w:lineRule="auto"/>
        <w:jc w:val="both"/>
      </w:pPr>
      <w:r>
        <w:rPr>
          <w:rFonts w:ascii="Times New Roman" w:hAnsi="Times New Roman"/>
          <w:b w:val="0"/>
          <w:i w:val="0"/>
          <w:sz w:val="24"/>
        </w:rPr>
        <w:t>The study yielded the following principal findings, organized by objective:</w:t>
      </w:r>
    </w:p>
    <w:p>
      <w:pPr>
        <w:spacing w:before="0" w:after="120" w:line="480" w:lineRule="auto"/>
        <w:jc w:val="both"/>
      </w:pPr>
      <w:r>
        <w:rPr>
          <w:rFonts w:ascii="Times New Roman" w:hAnsi="Times New Roman"/>
          <w:b/>
          <w:i w:val="0"/>
          <w:sz w:val="24"/>
        </w:rPr>
        <w:t>Objective 1: Isolation of antimicrobial resistant *E. coli*:</w:t>
      </w:r>
      <w:r>
        <w:rPr>
          <w:rFonts w:ascii="Times New Roman" w:hAnsi="Times New Roman"/>
          <w:b w:val="0"/>
          <w:i w:val="0"/>
          <w:sz w:val="24"/>
        </w:rPr>
        <w:t xml:space="preserve"> Of 152 poultry manure samples processed, 88 (57.89%) yielded presumptive </w:t>
      </w:r>
      <w:r>
        <w:rPr>
          <w:rFonts w:ascii="Times New Roman" w:hAnsi="Times New Roman"/>
          <w:b w:val="0"/>
          <w:i/>
          <w:sz w:val="24"/>
        </w:rPr>
        <w:t>E. coli</w:t>
      </w:r>
      <w:r>
        <w:rPr>
          <w:rFonts w:ascii="Times New Roman" w:hAnsi="Times New Roman"/>
          <w:b w:val="0"/>
          <w:i w:val="0"/>
          <w:sz w:val="24"/>
        </w:rPr>
        <w:t xml:space="preserve"> colonies on EMB agar. Following biochemical and molecular confirmation, 37 samples (24.34%) were confirmed as </w:t>
      </w:r>
      <w:r>
        <w:rPr>
          <w:rFonts w:ascii="Times New Roman" w:hAnsi="Times New Roman"/>
          <w:b w:val="0"/>
          <w:i/>
          <w:sz w:val="24"/>
        </w:rPr>
        <w:t>E. coli</w:t>
      </w:r>
      <w:r>
        <w:rPr>
          <w:rFonts w:ascii="Times New Roman" w:hAnsi="Times New Roman"/>
          <w:b w:val="0"/>
          <w:i w:val="0"/>
          <w:sz w:val="24"/>
        </w:rPr>
        <w:t xml:space="preserve">. The proportion of confirmed </w:t>
      </w:r>
      <w:r>
        <w:rPr>
          <w:rFonts w:ascii="Times New Roman" w:hAnsi="Times New Roman"/>
          <w:b w:val="0"/>
          <w:i/>
          <w:sz w:val="24"/>
        </w:rPr>
        <w:t>E. coli</w:t>
      </w:r>
      <w:r>
        <w:rPr>
          <w:rFonts w:ascii="Times New Roman" w:hAnsi="Times New Roman"/>
          <w:b w:val="0"/>
          <w:i w:val="0"/>
          <w:sz w:val="24"/>
        </w:rPr>
        <w:t xml:space="preserve"> varied across vendor locations, ranging from 16.6% at Zabi, Samaru, and Basawa to 31.4% at Dan Magaji. Chi-square analysis revealed no statistically significant difference in </w:t>
      </w:r>
      <w:r>
        <w:rPr>
          <w:rFonts w:ascii="Times New Roman" w:hAnsi="Times New Roman"/>
          <w:b w:val="0"/>
          <w:i/>
          <w:sz w:val="24"/>
        </w:rPr>
        <w:t>E. coli</w:t>
      </w:r>
      <w:r>
        <w:rPr>
          <w:rFonts w:ascii="Times New Roman" w:hAnsi="Times New Roman"/>
          <w:b w:val="0"/>
          <w:i w:val="0"/>
          <w:sz w:val="24"/>
        </w:rPr>
        <w:t xml:space="preserve"> prevalence across locations (χ² = 2.240, df = 7, P = 0.945), indicating a uniformly high AMR exposure environment across the vendor market network.</w:t>
      </w:r>
    </w:p>
    <w:p>
      <w:pPr>
        <w:spacing w:before="0" w:after="120" w:line="480" w:lineRule="auto"/>
        <w:jc w:val="both"/>
      </w:pPr>
      <w:r>
        <w:rPr>
          <w:rFonts w:ascii="Times New Roman" w:hAnsi="Times New Roman"/>
          <w:b/>
          <w:i w:val="0"/>
          <w:sz w:val="24"/>
        </w:rPr>
        <w:t>Objective 2: MDR status:</w:t>
      </w:r>
      <w:r>
        <w:rPr>
          <w:rFonts w:ascii="Times New Roman" w:hAnsi="Times New Roman"/>
          <w:b w:val="0"/>
          <w:i w:val="0"/>
          <w:sz w:val="24"/>
        </w:rPr>
        <w:t xml:space="preserve"> All 37 confirmed </w:t>
      </w:r>
      <w:r>
        <w:rPr>
          <w:rFonts w:ascii="Times New Roman" w:hAnsi="Times New Roman"/>
          <w:b w:val="0"/>
          <w:i/>
          <w:sz w:val="24"/>
        </w:rPr>
        <w:t>E. coli</w:t>
      </w:r>
      <w:r>
        <w:rPr>
          <w:rFonts w:ascii="Times New Roman" w:hAnsi="Times New Roman"/>
          <w:b w:val="0"/>
          <w:i w:val="0"/>
          <w:sz w:val="24"/>
        </w:rPr>
        <w:t xml:space="preserve"> isolates (100%) were multidrug resistant, with MAR indices ranging from 0.3 to 0.9, all exceeding the 0.2 threshold for high-risk antibiotic source environments. Ten distinct antimicrobial resistance patterns were identified. The most prevalent pattern, observed in 19 isolates (51.35%), comprised simultaneous resistance to eight antibiotics, ceftriaxone, tetracycline, gentamicin, trimethoprim-sulfamethoxazole, chloramphenicol, azithromycin, ciprofloxacin, and nalidixic acid. All isolates were susceptible to meropenem (100%) and all were resistant to azithromycin (100%). Very high resistance was also recorded for trimethoprim-sulfamethoxazole (97.29%), chloramphenicol (97.29%), ciprofloxacin (97.29%), nalidixic acid (94.59%), gentamicin (91.89%), and tetracycline (89.18%).</w:t>
      </w:r>
    </w:p>
    <w:p>
      <w:pPr>
        <w:spacing w:before="0" w:after="120" w:line="480" w:lineRule="auto"/>
        <w:jc w:val="both"/>
      </w:pPr>
      <w:r>
        <w:rPr>
          <w:rFonts w:ascii="Times New Roman" w:hAnsi="Times New Roman"/>
          <w:b/>
          <w:i w:val="0"/>
          <w:sz w:val="24"/>
        </w:rPr>
        <w:t>Objective 3: Integron detection:</w:t>
      </w:r>
      <w:r>
        <w:rPr>
          <w:rFonts w:ascii="Times New Roman" w:hAnsi="Times New Roman"/>
          <w:b w:val="0"/>
          <w:i w:val="0"/>
          <w:sz w:val="24"/>
        </w:rPr>
        <w:t xml:space="preserve"> Class I integrons were detected in 36 of 37 MDR </w:t>
      </w:r>
      <w:r>
        <w:rPr>
          <w:rFonts w:ascii="Times New Roman" w:hAnsi="Times New Roman"/>
          <w:b w:val="0"/>
          <w:i/>
          <w:sz w:val="24"/>
        </w:rPr>
        <w:t>E. coli</w:t>
      </w:r>
      <w:r>
        <w:rPr>
          <w:rFonts w:ascii="Times New Roman" w:hAnsi="Times New Roman"/>
          <w:b w:val="0"/>
          <w:i w:val="0"/>
          <w:sz w:val="24"/>
        </w:rPr>
        <w:t xml:space="preserve"> isolates (97.2%). Class II integrons were detected in 28 of 37 isolates (75.6%). Both integron classes were present across isolates from multiple vendor locations; Class II integrons were absent in all three isolates from Dogarawa. Twenty-seven isolates (73.0%) carried both Class I and Class II integrons simultaneously, indicating co-carriage of dual integron-based resistance architectures within individual bacteria. Chi-square analysis revealed no statistically significant difference in Class I (χ² = 2.429, df = 7, P = 0.932) or Class II (χ² = 12.718, df = 7, P = 0.079) integron carriage by vendor location, consistent with a broadly uniform distribution of integron-bearing MDR </w:t>
      </w:r>
      <w:r>
        <w:rPr>
          <w:rFonts w:ascii="Times New Roman" w:hAnsi="Times New Roman"/>
          <w:b w:val="0"/>
          <w:i/>
          <w:sz w:val="24"/>
        </w:rPr>
        <w:t>E. coli</w:t>
      </w:r>
      <w:r>
        <w:rPr>
          <w:rFonts w:ascii="Times New Roman" w:hAnsi="Times New Roman"/>
          <w:b w:val="0"/>
          <w:i w:val="0"/>
          <w:sz w:val="24"/>
        </w:rPr>
        <w:t xml:space="preserve"> across the commercial manure vendor network in Zaria Metropolis.</w:t>
      </w:r>
    </w:p>
    <w:p>
      <w:pPr>
        <w:pStyle w:val="Heading3"/>
        <w:spacing w:before="120" w:after="60" w:line="480" w:lineRule="auto"/>
        <w:jc w:val="left"/>
      </w:pPr>
      <w:r>
        <w:rPr>
          <w:rFonts w:ascii="Times New Roman" w:hAnsi="Times New Roman"/>
          <w:b/>
          <w:i w:val="0"/>
          <w:color w:val="000000"/>
          <w:sz w:val="24"/>
        </w:rPr>
        <w:t>6.2 Conclusions</w:t>
      </w:r>
    </w:p>
    <w:p>
      <w:pPr>
        <w:spacing w:before="0" w:after="120" w:line="480" w:lineRule="auto"/>
        <w:jc w:val="both"/>
      </w:pPr>
      <w:r>
        <w:rPr>
          <w:rFonts w:ascii="Times New Roman" w:hAnsi="Times New Roman"/>
          <w:b w:val="0"/>
          <w:i w:val="0"/>
          <w:sz w:val="24"/>
        </w:rPr>
        <w:t>Based on the findings of this study, the following conclusions were drawn in direct response to each research question:</w:t>
      </w:r>
    </w:p>
    <w:p>
      <w:pPr>
        <w:spacing w:before="0" w:after="120" w:line="480" w:lineRule="auto"/>
        <w:jc w:val="both"/>
      </w:pPr>
      <w:r>
        <w:rPr>
          <w:rFonts w:ascii="Times New Roman" w:hAnsi="Times New Roman"/>
          <w:b/>
          <w:i w:val="0"/>
          <w:sz w:val="24"/>
        </w:rPr>
        <w:t>Research Question 1:</w:t>
      </w:r>
      <w:r>
        <w:rPr>
          <w:rFonts w:ascii="Times New Roman" w:hAnsi="Times New Roman"/>
          <w:b w:val="0"/>
          <w:i w:val="0"/>
          <w:sz w:val="24"/>
        </w:rPr>
        <w:t xml:space="preserve"> </w:t>
      </w:r>
      <w:r>
        <w:rPr>
          <w:rFonts w:ascii="Times New Roman" w:hAnsi="Times New Roman"/>
          <w:b w:val="0"/>
          <w:i/>
          <w:sz w:val="24"/>
        </w:rPr>
        <w:t>How common are antimicrobial resistant Escherichia coli in commercial poultry manure obtained from vendors in Zaria?</w:t>
      </w:r>
    </w:p>
    <w:p>
      <w:pPr>
        <w:spacing w:before="0" w:after="120" w:line="480" w:lineRule="auto"/>
        <w:jc w:val="both"/>
      </w:pPr>
      <w:r>
        <w:rPr>
          <w:rFonts w:ascii="Times New Roman" w:hAnsi="Times New Roman"/>
          <w:b w:val="0"/>
          <w:i w:val="0"/>
          <w:sz w:val="24"/>
        </w:rPr>
        <w:t xml:space="preserve">Antimicrobial resistant </w:t>
      </w:r>
      <w:r>
        <w:rPr>
          <w:rFonts w:ascii="Times New Roman" w:hAnsi="Times New Roman"/>
          <w:b w:val="0"/>
          <w:i/>
          <w:sz w:val="24"/>
        </w:rPr>
        <w:t>Escherichia coli</w:t>
      </w:r>
      <w:r>
        <w:rPr>
          <w:rFonts w:ascii="Times New Roman" w:hAnsi="Times New Roman"/>
          <w:b w:val="0"/>
          <w:i w:val="0"/>
          <w:sz w:val="24"/>
        </w:rPr>
        <w:t xml:space="preserve"> were present at an overall prevalence of 24.34% (37/152) in commercial poultry manure obtained from vendors in Zaria Metropolis. This prevalence was consistent across all eight vendor locations and indicates substantial </w:t>
      </w:r>
      <w:r>
        <w:rPr>
          <w:rFonts w:ascii="Times New Roman" w:hAnsi="Times New Roman"/>
          <w:b w:val="0"/>
          <w:i/>
          <w:sz w:val="24"/>
        </w:rPr>
        <w:t>E. coli</w:t>
      </w:r>
      <w:r>
        <w:rPr>
          <w:rFonts w:ascii="Times New Roman" w:hAnsi="Times New Roman"/>
          <w:b w:val="0"/>
          <w:i w:val="0"/>
          <w:sz w:val="24"/>
        </w:rPr>
        <w:t xml:space="preserve"> contamination of commercially traded poultry litter in the study area.</w:t>
      </w:r>
    </w:p>
    <w:p>
      <w:pPr>
        <w:spacing w:before="0" w:after="120" w:line="480" w:lineRule="auto"/>
        <w:jc w:val="both"/>
      </w:pPr>
      <w:r>
        <w:rPr>
          <w:rFonts w:ascii="Times New Roman" w:hAnsi="Times New Roman"/>
          <w:b/>
          <w:i w:val="0"/>
          <w:sz w:val="24"/>
        </w:rPr>
        <w:t>Research Question 2:</w:t>
      </w:r>
      <w:r>
        <w:rPr>
          <w:rFonts w:ascii="Times New Roman" w:hAnsi="Times New Roman"/>
          <w:b w:val="0"/>
          <w:i w:val="0"/>
          <w:sz w:val="24"/>
        </w:rPr>
        <w:t xml:space="preserve"> </w:t>
      </w:r>
      <w:r>
        <w:rPr>
          <w:rFonts w:ascii="Times New Roman" w:hAnsi="Times New Roman"/>
          <w:b w:val="0"/>
          <w:i/>
          <w:sz w:val="24"/>
        </w:rPr>
        <w:t>What proportion of the antimicrobial resistant E. coli isolates are multidrug resistant?</w:t>
      </w:r>
    </w:p>
    <w:p>
      <w:pPr>
        <w:spacing w:before="0" w:after="120" w:line="480" w:lineRule="auto"/>
        <w:jc w:val="both"/>
      </w:pPr>
      <w:r>
        <w:rPr>
          <w:rFonts w:ascii="Times New Roman" w:hAnsi="Times New Roman"/>
          <w:b w:val="0"/>
          <w:i w:val="0"/>
          <w:sz w:val="24"/>
        </w:rPr>
        <w:t xml:space="preserve">All 37 antimicrobial resistant </w:t>
      </w:r>
      <w:r>
        <w:rPr>
          <w:rFonts w:ascii="Times New Roman" w:hAnsi="Times New Roman"/>
          <w:b w:val="0"/>
          <w:i/>
          <w:sz w:val="24"/>
        </w:rPr>
        <w:t>E. coli</w:t>
      </w:r>
      <w:r>
        <w:rPr>
          <w:rFonts w:ascii="Times New Roman" w:hAnsi="Times New Roman"/>
          <w:b w:val="0"/>
          <w:i w:val="0"/>
          <w:sz w:val="24"/>
        </w:rPr>
        <w:t xml:space="preserve"> isolates (100%) were multidrug resistant, with MAR indices exceeding 0.2 for all isolates and ranging up to 0.9. The uniformity of the MDR phenotype, combined with ten distinct resistance patterns, indicates that vendor-traded poultry manure in Zaria Metropolis constitutes a high-risk AMR source environment in which diverse, independently derived MDR E. coli lineages coexist.</w:t>
      </w:r>
    </w:p>
    <w:p>
      <w:pPr>
        <w:spacing w:before="0" w:after="120" w:line="480" w:lineRule="auto"/>
        <w:jc w:val="both"/>
      </w:pPr>
      <w:r>
        <w:rPr>
          <w:rFonts w:ascii="Times New Roman" w:hAnsi="Times New Roman"/>
          <w:b/>
          <w:i w:val="0"/>
          <w:sz w:val="24"/>
        </w:rPr>
        <w:t>Research Question 3:</w:t>
      </w:r>
      <w:r>
        <w:rPr>
          <w:rFonts w:ascii="Times New Roman" w:hAnsi="Times New Roman"/>
          <w:b w:val="0"/>
          <w:i w:val="0"/>
          <w:sz w:val="24"/>
        </w:rPr>
        <w:t xml:space="preserve"> </w:t>
      </w:r>
      <w:r>
        <w:rPr>
          <w:rFonts w:ascii="Times New Roman" w:hAnsi="Times New Roman"/>
          <w:b w:val="0"/>
          <w:i/>
          <w:sz w:val="24"/>
        </w:rPr>
        <w:t>Are the MDR E. coli in poultry manure from vendors in Zaria harbouring Class I and Class II integrons?</w:t>
      </w:r>
    </w:p>
    <w:p>
      <w:pPr>
        <w:spacing w:before="0" w:after="120" w:line="480" w:lineRule="auto"/>
        <w:jc w:val="both"/>
      </w:pPr>
      <w:r>
        <w:rPr>
          <w:rFonts w:ascii="Times New Roman" w:hAnsi="Times New Roman"/>
          <w:b w:val="0"/>
          <w:i w:val="0"/>
          <w:sz w:val="24"/>
        </w:rPr>
        <w:t xml:space="preserve">The majority of MDR </w:t>
      </w:r>
      <w:r>
        <w:rPr>
          <w:rFonts w:ascii="Times New Roman" w:hAnsi="Times New Roman"/>
          <w:b w:val="0"/>
          <w:i/>
          <w:sz w:val="24"/>
        </w:rPr>
        <w:t>E. coli</w:t>
      </w:r>
      <w:r>
        <w:rPr>
          <w:rFonts w:ascii="Times New Roman" w:hAnsi="Times New Roman"/>
          <w:b w:val="0"/>
          <w:i w:val="0"/>
          <w:sz w:val="24"/>
        </w:rPr>
        <w:t xml:space="preserve"> isolates harboured Class I integrons (36/37; 97.2%) and Class II integrons (28/37; 75.6%). The near-universal prevalence of Class I integrons and the high prevalence of Class II integrons, including co-carriage in 73.0% of isolates, indicate that vendor-traded poultry manure in Zaria harbours a population of E. coli with an exceptionally well-developed integron-based resistance gene transfer infrastructure.</w:t>
      </w:r>
    </w:p>
    <w:p>
      <w:pPr>
        <w:spacing w:before="0" w:after="120" w:line="480" w:lineRule="auto"/>
        <w:jc w:val="both"/>
      </w:pPr>
      <w:r>
        <w:rPr>
          <w:rFonts w:ascii="Times New Roman" w:hAnsi="Times New Roman"/>
          <w:b/>
          <w:i w:val="0"/>
          <w:sz w:val="24"/>
        </w:rPr>
        <w:t>Overall Conclusion:</w:t>
      </w:r>
    </w:p>
    <w:p>
      <w:pPr>
        <w:spacing w:before="0" w:after="120" w:line="480" w:lineRule="auto"/>
        <w:jc w:val="both"/>
      </w:pPr>
      <w:r>
        <w:rPr>
          <w:rFonts w:ascii="Times New Roman" w:hAnsi="Times New Roman"/>
          <w:b w:val="0"/>
          <w:i w:val="0"/>
          <w:sz w:val="24"/>
        </w:rPr>
        <w:t xml:space="preserve">Commercial poultry manure from vendors in Zaria Metropolis is a significant environmental reservoir of MDR </w:t>
      </w:r>
      <w:r>
        <w:rPr>
          <w:rFonts w:ascii="Times New Roman" w:hAnsi="Times New Roman"/>
          <w:b w:val="0"/>
          <w:i/>
          <w:sz w:val="24"/>
        </w:rPr>
        <w:t>Escherichia coli</w:t>
      </w:r>
      <w:r>
        <w:rPr>
          <w:rFonts w:ascii="Times New Roman" w:hAnsi="Times New Roman"/>
          <w:b w:val="0"/>
          <w:i w:val="0"/>
          <w:sz w:val="24"/>
        </w:rPr>
        <w:t xml:space="preserve"> bearing Class I and Class II integrons. The near-universal Class I integron carriage (97.2%) and high Class II integron prevalence (75.6%) documented in this study represent a substantial and previously unquantified AMR risk at the urban agricultural interface of Zaria. The concentration of integron-bearing MDR E. coli in commercially traded, untreated poultry litter, distributed through informal vendor markets operating directly within the urban environment, creates credible pathways for horizontal transmission of antibiotic resistance genes into agricultural soils, food crops, water sources, and ultimately into the human community. Urgent surveillance and evidence-based regulatory interventions at the veterinary, public health, and policy levels are necessary and warranted.</w:t>
      </w:r>
    </w:p>
    <w:p>
      <w:pPr>
        <w:pStyle w:val="Heading3"/>
        <w:spacing w:before="120" w:after="60" w:line="480" w:lineRule="auto"/>
        <w:jc w:val="left"/>
      </w:pPr>
      <w:r>
        <w:rPr>
          <w:rFonts w:ascii="Times New Roman" w:hAnsi="Times New Roman"/>
          <w:b/>
          <w:i w:val="0"/>
          <w:color w:val="000000"/>
          <w:sz w:val="24"/>
        </w:rPr>
        <w:t>6.3 Recommendations</w:t>
      </w:r>
    </w:p>
    <w:p>
      <w:pPr>
        <w:spacing w:before="0" w:after="120" w:line="480" w:lineRule="auto"/>
        <w:jc w:val="both"/>
      </w:pPr>
      <w:r>
        <w:rPr>
          <w:rFonts w:ascii="Times New Roman" w:hAnsi="Times New Roman"/>
          <w:b w:val="0"/>
          <w:i w:val="0"/>
          <w:sz w:val="24"/>
        </w:rPr>
        <w:t>Based on the findings and conclusions of this study, the following recommendations are made to relevant stakeholders:</w:t>
      </w:r>
    </w:p>
    <w:p>
      <w:pPr>
        <w:spacing w:before="120" w:after="60" w:line="480" w:lineRule="auto"/>
        <w:jc w:val="left"/>
      </w:pPr>
      <w:r>
        <w:rPr>
          <w:rFonts w:ascii="Times New Roman" w:hAnsi="Times New Roman"/>
          <w:b/>
          <w:i/>
          <w:sz w:val="24"/>
        </w:rPr>
        <w:t>(a) Veterinary and Agricultural Recommendations</w:t>
      </w:r>
    </w:p>
    <w:p>
      <w:pPr>
        <w:pStyle w:val="ListNumber"/>
        <w:spacing w:before="40" w:after="40" w:line="240" w:lineRule="auto"/>
        <w:jc w:val="both"/>
      </w:pPr>
      <w:r>
        <w:rPr>
          <w:rFonts w:ascii="Times New Roman" w:hAnsi="Times New Roman"/>
          <w:b w:val="0"/>
          <w:i w:val="0"/>
          <w:sz w:val="24"/>
        </w:rPr>
        <w:t>The National Agency for Food and Drug Administration and Control (NAFDAC) and the Nigerian Veterinary Medical Association (NVMA) should enforce existing regulations governing antibiotic use in commercial poultry production, with particular emphasis on restricting the therapeutic and sub-therapeutic use of WHO-classified critically important antimicrobials, including fluoroquinolones, third-generation cephalosporins, and macrolides, without a valid veterinary prescription.</w:t>
      </w:r>
    </w:p>
    <w:p>
      <w:pPr>
        <w:pStyle w:val="ListNumber"/>
        <w:spacing w:before="40" w:after="40" w:line="240" w:lineRule="auto"/>
        <w:jc w:val="both"/>
      </w:pPr>
      <w:r>
        <w:rPr>
          <w:rFonts w:ascii="Times New Roman" w:hAnsi="Times New Roman"/>
          <w:b w:val="0"/>
          <w:i w:val="0"/>
          <w:sz w:val="24"/>
        </w:rPr>
        <w:t>Mandatory prescription-only dispensing of all antibiotics used in poultry production should be enforced, with penalties for the unlicensed over-the-counter sale of veterinary antimicrobials in agro-veterinary shops and open markets.</w:t>
      </w:r>
    </w:p>
    <w:p>
      <w:pPr>
        <w:pStyle w:val="ListNumber"/>
        <w:spacing w:before="40" w:after="40" w:line="240" w:lineRule="auto"/>
        <w:jc w:val="both"/>
      </w:pPr>
      <w:r>
        <w:rPr>
          <w:rFonts w:ascii="Times New Roman" w:hAnsi="Times New Roman"/>
          <w:b w:val="0"/>
          <w:i w:val="0"/>
          <w:sz w:val="24"/>
        </w:rPr>
        <w:t>Compulsory training and certification programmes on antibiotic stewardship, resistance management, and biosecurity should be developed for commercial poultry farmers in Kaduna State and scaled nationally.</w:t>
      </w:r>
    </w:p>
    <w:p>
      <w:pPr>
        <w:pStyle w:val="ListNumber"/>
        <w:spacing w:before="40" w:after="40" w:line="240" w:lineRule="auto"/>
        <w:jc w:val="both"/>
      </w:pPr>
      <w:r>
        <w:rPr>
          <w:rFonts w:ascii="Times New Roman" w:hAnsi="Times New Roman"/>
          <w:b w:val="0"/>
          <w:i w:val="0"/>
          <w:sz w:val="24"/>
        </w:rPr>
        <w:t>Good waste management practices, including composting, thermophilic treatment, or approved chemical treatment of poultry manure prior to sale, should be promoted among vendors and farmers as a practical AMR risk-reduction strategy.</w:t>
      </w:r>
    </w:p>
    <w:p>
      <w:pPr>
        <w:spacing w:before="120" w:after="60" w:line="480" w:lineRule="auto"/>
        <w:jc w:val="left"/>
      </w:pPr>
      <w:r>
        <w:rPr>
          <w:rFonts w:ascii="Times New Roman" w:hAnsi="Times New Roman"/>
          <w:b/>
          <w:i/>
          <w:sz w:val="24"/>
        </w:rPr>
        <w:t>(b) Public Health and Surveillance Recommendations</w:t>
      </w:r>
    </w:p>
    <w:p>
      <w:pPr>
        <w:pStyle w:val="ListNumber"/>
        <w:spacing w:before="40" w:after="40" w:line="240" w:lineRule="auto"/>
        <w:jc w:val="both"/>
      </w:pPr>
      <w:r>
        <w:rPr>
          <w:rFonts w:ascii="Times New Roman" w:hAnsi="Times New Roman"/>
          <w:b w:val="0"/>
          <w:i w:val="0"/>
          <w:sz w:val="24"/>
        </w:rPr>
        <w:t xml:space="preserve">Routine AMR sentinel surveillance should be established at urban poultry manure vendor markets across Nigerian cities as part of a One Health AMR monitoring framework, with </w:t>
      </w:r>
      <w:r>
        <w:rPr>
          <w:rFonts w:ascii="Times New Roman" w:hAnsi="Times New Roman"/>
          <w:b w:val="0"/>
          <w:i/>
          <w:sz w:val="24"/>
        </w:rPr>
        <w:t>E. coli</w:t>
      </w:r>
      <w:r>
        <w:rPr>
          <w:rFonts w:ascii="Times New Roman" w:hAnsi="Times New Roman"/>
          <w:b w:val="0"/>
          <w:i w:val="0"/>
          <w:sz w:val="24"/>
        </w:rPr>
        <w:t xml:space="preserve"> as the primary indicator organism and integron prevalence as a core molecular outcome measure.</w:t>
      </w:r>
    </w:p>
    <w:p>
      <w:pPr>
        <w:pStyle w:val="ListNumber"/>
        <w:spacing w:before="40" w:after="40" w:line="240" w:lineRule="auto"/>
        <w:jc w:val="both"/>
      </w:pPr>
      <w:r>
        <w:rPr>
          <w:rFonts w:ascii="Times New Roman" w:hAnsi="Times New Roman"/>
          <w:b w:val="0"/>
          <w:i w:val="0"/>
          <w:sz w:val="24"/>
        </w:rPr>
        <w:t>The environmental surveillance component of Nigeria's National Action Plan on AMR (NAP-AMR) should explicitly include vendor-sourced poultry litter and other agricultural waste streams as surveillance matrices, complementing existing clinical and farm-level monitoring.</w:t>
      </w:r>
    </w:p>
    <w:p>
      <w:pPr>
        <w:pStyle w:val="ListNumber"/>
        <w:spacing w:before="40" w:after="40" w:line="240" w:lineRule="auto"/>
        <w:jc w:val="both"/>
      </w:pPr>
      <w:r>
        <w:rPr>
          <w:rFonts w:ascii="Times New Roman" w:hAnsi="Times New Roman"/>
          <w:b w:val="0"/>
          <w:i w:val="0"/>
          <w:sz w:val="24"/>
        </w:rPr>
        <w:t>Targeted public health education campaigns should be designed and delivered to urban consumers, smallholder farmers, domestic gardeners, and market workers to raise awareness of the AMR risk associated with the handling and land application of fresh, untreated commercial poultry manure.</w:t>
      </w:r>
    </w:p>
    <w:p>
      <w:pPr>
        <w:pStyle w:val="ListNumber"/>
        <w:spacing w:before="40" w:after="40" w:line="240" w:lineRule="auto"/>
        <w:jc w:val="both"/>
      </w:pPr>
      <w:r>
        <w:rPr>
          <w:rFonts w:ascii="Times New Roman" w:hAnsi="Times New Roman"/>
          <w:b w:val="0"/>
          <w:i w:val="0"/>
          <w:sz w:val="24"/>
        </w:rPr>
        <w:t>Occupational health screening for MDR E. coli colonization should be considered for workers regularly exposed to commercial poultry manure at vendor markets in Nigerian urban centres.</w:t>
      </w:r>
    </w:p>
    <w:p>
      <w:pPr>
        <w:spacing w:before="120" w:after="60" w:line="480" w:lineRule="auto"/>
        <w:jc w:val="left"/>
      </w:pPr>
      <w:r>
        <w:rPr>
          <w:rFonts w:ascii="Times New Roman" w:hAnsi="Times New Roman"/>
          <w:b/>
          <w:i/>
          <w:sz w:val="24"/>
        </w:rPr>
        <w:t>(c) Regulatory and Policy Recommendations</w:t>
      </w:r>
    </w:p>
    <w:p>
      <w:pPr>
        <w:pStyle w:val="ListNumber"/>
        <w:spacing w:before="40" w:after="40" w:line="240" w:lineRule="auto"/>
        <w:jc w:val="both"/>
      </w:pPr>
      <w:r>
        <w:rPr>
          <w:rFonts w:ascii="Times New Roman" w:hAnsi="Times New Roman"/>
          <w:b w:val="0"/>
          <w:i w:val="0"/>
          <w:sz w:val="24"/>
        </w:rPr>
        <w:t>The mandatory treatment of commercial poultry manure, by composting, heat treatment, or an approved chemical or biological process, before sale for agricultural or domestic use should be legislated and enforced by the relevant state and federal environmental health and agriculture agencies.</w:t>
      </w:r>
    </w:p>
    <w:p>
      <w:pPr>
        <w:pStyle w:val="ListNumber"/>
        <w:spacing w:before="40" w:after="40" w:line="240" w:lineRule="auto"/>
        <w:jc w:val="both"/>
      </w:pPr>
      <w:r>
        <w:rPr>
          <w:rFonts w:ascii="Times New Roman" w:hAnsi="Times New Roman"/>
          <w:b w:val="0"/>
          <w:i w:val="0"/>
          <w:sz w:val="24"/>
        </w:rPr>
        <w:t>Registration, licensing, and periodic hygiene auditing of commercial poultry manure vendors in Zaria and other Nigerian urban centres should be instituted as part of a broader framework for the regulation of urban animal-derived agricultural inputs.</w:t>
      </w:r>
    </w:p>
    <w:p>
      <w:pPr>
        <w:pStyle w:val="ListNumber"/>
        <w:spacing w:before="40" w:after="40" w:line="240" w:lineRule="auto"/>
        <w:jc w:val="both"/>
      </w:pPr>
      <w:r>
        <w:rPr>
          <w:rFonts w:ascii="Times New Roman" w:hAnsi="Times New Roman"/>
          <w:b w:val="0"/>
          <w:i w:val="0"/>
          <w:sz w:val="24"/>
        </w:rPr>
        <w:t>AMR screening data from environmental matrices, including poultry manure, should be incorporated into Nigeria's national AMR dashboard and reported annually to inform evidence-based policy revision.</w:t>
      </w:r>
    </w:p>
    <w:p>
      <w:pPr>
        <w:spacing w:before="120" w:after="60" w:line="480" w:lineRule="auto"/>
        <w:jc w:val="left"/>
      </w:pPr>
      <w:r>
        <w:rPr>
          <w:rFonts w:ascii="Times New Roman" w:hAnsi="Times New Roman"/>
          <w:b/>
          <w:i/>
          <w:sz w:val="24"/>
        </w:rPr>
        <w:t>(d) Research Recommendations</w:t>
      </w:r>
    </w:p>
    <w:p>
      <w:pPr>
        <w:pStyle w:val="ListNumber"/>
        <w:spacing w:before="40" w:after="40" w:line="240" w:lineRule="auto"/>
        <w:jc w:val="both"/>
      </w:pPr>
      <w:r>
        <w:rPr>
          <w:rFonts w:ascii="Times New Roman" w:hAnsi="Times New Roman"/>
          <w:b w:val="0"/>
          <w:i w:val="0"/>
          <w:sz w:val="24"/>
        </w:rPr>
        <w:t xml:space="preserve">Whole-genome sequencing (WGS) of representative MDR </w:t>
      </w:r>
      <w:r>
        <w:rPr>
          <w:rFonts w:ascii="Times New Roman" w:hAnsi="Times New Roman"/>
          <w:b w:val="0"/>
          <w:i/>
          <w:sz w:val="24"/>
        </w:rPr>
        <w:t>E. coli</w:t>
      </w:r>
      <w:r>
        <w:rPr>
          <w:rFonts w:ascii="Times New Roman" w:hAnsi="Times New Roman"/>
          <w:b w:val="0"/>
          <w:i w:val="0"/>
          <w:sz w:val="24"/>
        </w:rPr>
        <w:t xml:space="preserve"> isolates from this study should be undertaken to identify the specific resistance gene cassettes carried within Class I and Class II integron variable regions, characterize the plasmid incompatibility groups on which integrons are located, and determine the clonal relationships between isolates from different vendor locations.</w:t>
      </w:r>
    </w:p>
    <w:p>
      <w:pPr>
        <w:pStyle w:val="ListNumber"/>
        <w:spacing w:before="40" w:after="40" w:line="240" w:lineRule="auto"/>
        <w:jc w:val="both"/>
      </w:pPr>
      <w:r>
        <w:rPr>
          <w:rFonts w:ascii="Times New Roman" w:hAnsi="Times New Roman"/>
          <w:b w:val="0"/>
          <w:i w:val="0"/>
          <w:sz w:val="24"/>
        </w:rPr>
        <w:t xml:space="preserve">A longitudinal study at the same eight vendor locations should be conducted at multiple time points across at least two annual production cycles to characterize temporal and seasonal dynamics in MDR </w:t>
      </w:r>
      <w:r>
        <w:rPr>
          <w:rFonts w:ascii="Times New Roman" w:hAnsi="Times New Roman"/>
          <w:b w:val="0"/>
          <w:i/>
          <w:sz w:val="24"/>
        </w:rPr>
        <w:t>E. coli</w:t>
      </w:r>
      <w:r>
        <w:rPr>
          <w:rFonts w:ascii="Times New Roman" w:hAnsi="Times New Roman"/>
          <w:b w:val="0"/>
          <w:i w:val="0"/>
          <w:sz w:val="24"/>
        </w:rPr>
        <w:t xml:space="preserve"> prevalence and integron carriage rates.</w:t>
      </w:r>
    </w:p>
    <w:p>
      <w:pPr>
        <w:pStyle w:val="ListNumber"/>
        <w:spacing w:before="40" w:after="40" w:line="240" w:lineRule="auto"/>
        <w:jc w:val="both"/>
      </w:pPr>
      <w:r>
        <w:rPr>
          <w:rFonts w:ascii="Times New Roman" w:hAnsi="Times New Roman"/>
          <w:b w:val="0"/>
          <w:i w:val="0"/>
          <w:sz w:val="24"/>
        </w:rPr>
        <w:t xml:space="preserve">A comparative One Health study should be designed to trace MDR </w:t>
      </w:r>
      <w:r>
        <w:rPr>
          <w:rFonts w:ascii="Times New Roman" w:hAnsi="Times New Roman"/>
          <w:b w:val="0"/>
          <w:i/>
          <w:sz w:val="24"/>
        </w:rPr>
        <w:t>E. coli</w:t>
      </w:r>
      <w:r>
        <w:rPr>
          <w:rFonts w:ascii="Times New Roman" w:hAnsi="Times New Roman"/>
          <w:b w:val="0"/>
          <w:i w:val="0"/>
          <w:sz w:val="24"/>
        </w:rPr>
        <w:t xml:space="preserve"> and integron-borne ARGs from vendor-sourced poultry manure through agricultural soil, irrigation water, harvested produce, and nasal and fecal samples from vendor workers and domestic gardeners, to quantify the full AMR exposure pathway.</w:t>
      </w:r>
    </w:p>
    <w:p>
      <w:pPr>
        <w:pStyle w:val="ListNumber"/>
        <w:spacing w:before="40" w:after="40" w:line="240" w:lineRule="auto"/>
        <w:jc w:val="both"/>
      </w:pPr>
      <w:r>
        <w:rPr>
          <w:rFonts w:ascii="Times New Roman" w:hAnsi="Times New Roman"/>
          <w:b w:val="0"/>
          <w:i w:val="0"/>
          <w:sz w:val="24"/>
        </w:rPr>
        <w:t xml:space="preserve">Targeted surveillance for carbapenemase genes, including </w:t>
      </w:r>
      <w:r>
        <w:rPr>
          <w:rFonts w:ascii="Times New Roman" w:hAnsi="Times New Roman"/>
          <w:b w:val="0"/>
          <w:i/>
          <w:sz w:val="24"/>
        </w:rPr>
        <w:t>bla</w:t>
      </w:r>
      <w:r>
        <w:rPr>
          <w:rFonts w:ascii="Times New Roman" w:hAnsi="Times New Roman"/>
          <w:b w:val="0"/>
          <w:i w:val="0"/>
          <w:sz w:val="24"/>
        </w:rPr>
        <w:t xml:space="preserve">NDM, </w:t>
      </w:r>
      <w:r>
        <w:rPr>
          <w:rFonts w:ascii="Times New Roman" w:hAnsi="Times New Roman"/>
          <w:b w:val="0"/>
          <w:i/>
          <w:sz w:val="24"/>
        </w:rPr>
        <w:t>bla</w:t>
      </w:r>
      <w:r>
        <w:rPr>
          <w:rFonts w:ascii="Times New Roman" w:hAnsi="Times New Roman"/>
          <w:b w:val="0"/>
          <w:i w:val="0"/>
          <w:sz w:val="24"/>
        </w:rPr>
        <w:t xml:space="preserve">KPC, and </w:t>
      </w:r>
      <w:r>
        <w:rPr>
          <w:rFonts w:ascii="Times New Roman" w:hAnsi="Times New Roman"/>
          <w:b w:val="0"/>
          <w:i/>
          <w:sz w:val="24"/>
        </w:rPr>
        <w:t>bla</w:t>
      </w:r>
      <w:r>
        <w:rPr>
          <w:rFonts w:ascii="Times New Roman" w:hAnsi="Times New Roman"/>
          <w:b w:val="0"/>
          <w:i w:val="0"/>
          <w:sz w:val="24"/>
        </w:rPr>
        <w:t>OXA-48, should be performed on isolates from this study collection using molecular methods, given the clinical importance of carbapenem resistance and the integron-based infrastructure that could facilitate its acquisition and dissemination.</w:t>
      </w:r>
    </w:p>
    <w:p>
      <w:pPr>
        <w:pStyle w:val="ListNumber"/>
        <w:spacing w:before="40" w:after="40" w:line="240" w:lineRule="auto"/>
        <w:jc w:val="both"/>
      </w:pPr>
      <w:r>
        <w:rPr>
          <w:rFonts w:ascii="Times New Roman" w:hAnsi="Times New Roman"/>
          <w:b w:val="0"/>
          <w:i w:val="0"/>
          <w:sz w:val="24"/>
        </w:rPr>
        <w:t xml:space="preserve">Comparative genomic analysis of MDR </w:t>
      </w:r>
      <w:r>
        <w:rPr>
          <w:rFonts w:ascii="Times New Roman" w:hAnsi="Times New Roman"/>
          <w:b w:val="0"/>
          <w:i/>
          <w:sz w:val="24"/>
        </w:rPr>
        <w:t>E. coli</w:t>
      </w:r>
      <w:r>
        <w:rPr>
          <w:rFonts w:ascii="Times New Roman" w:hAnsi="Times New Roman"/>
          <w:b w:val="0"/>
          <w:i w:val="0"/>
          <w:sz w:val="24"/>
        </w:rPr>
        <w:t xml:space="preserve"> from vendor-sourced poultry litter and contemporaneous clinical </w:t>
      </w:r>
      <w:r>
        <w:rPr>
          <w:rFonts w:ascii="Times New Roman" w:hAnsi="Times New Roman"/>
          <w:b w:val="0"/>
          <w:i/>
          <w:sz w:val="24"/>
        </w:rPr>
        <w:t>E. coli</w:t>
      </w:r>
      <w:r>
        <w:rPr>
          <w:rFonts w:ascii="Times New Roman" w:hAnsi="Times New Roman"/>
          <w:b w:val="0"/>
          <w:i w:val="0"/>
          <w:sz w:val="24"/>
        </w:rPr>
        <w:t xml:space="preserve"> isolates from health facilities in Zaria should be conducted to assess genetic relatedness and shared resistance determinants across the agricultural-clinical interface.</w:t>
      </w:r>
    </w:p>
    <w:p>
      <w:pPr>
        <w:pStyle w:val="Heading3"/>
        <w:spacing w:before="120" w:after="60" w:line="480" w:lineRule="auto"/>
        <w:jc w:val="left"/>
      </w:pPr>
      <w:r>
        <w:rPr>
          <w:rFonts w:ascii="Times New Roman" w:hAnsi="Times New Roman"/>
          <w:b/>
          <w:i w:val="0"/>
          <w:color w:val="000000"/>
          <w:sz w:val="24"/>
        </w:rPr>
        <w:t>6.4 Contributions to Knowledge</w:t>
      </w:r>
    </w:p>
    <w:p>
      <w:pPr>
        <w:spacing w:before="0" w:after="120" w:line="480" w:lineRule="auto"/>
        <w:jc w:val="both"/>
      </w:pPr>
      <w:r>
        <w:rPr>
          <w:rFonts w:ascii="Times New Roman" w:hAnsi="Times New Roman"/>
          <w:b w:val="0"/>
          <w:i w:val="0"/>
          <w:sz w:val="24"/>
        </w:rPr>
        <w:t>This study makes the following novel contributions to the scientific and public health literature on AMR in Nigeria:</w:t>
      </w:r>
    </w:p>
    <w:p>
      <w:pPr>
        <w:pStyle w:val="ListNumber"/>
        <w:spacing w:before="40" w:after="40" w:line="240" w:lineRule="auto"/>
        <w:jc w:val="both"/>
      </w:pPr>
      <w:r>
        <w:rPr>
          <w:rFonts w:ascii="Times New Roman" w:hAnsi="Times New Roman"/>
          <w:b/>
          <w:i w:val="0"/>
          <w:sz w:val="24"/>
        </w:rPr>
        <w:t>First documented AMR data for vendor-sourced poultry manure in North-West Nigeria.</w:t>
      </w:r>
      <w:r>
        <w:rPr>
          <w:rFonts w:ascii="Times New Roman" w:hAnsi="Times New Roman"/>
          <w:b w:val="0"/>
          <w:i w:val="0"/>
          <w:sz w:val="24"/>
        </w:rPr>
        <w:t xml:space="preserve"> This study provides the first systematic prevalence data on MDR </w:t>
      </w:r>
      <w:r>
        <w:rPr>
          <w:rFonts w:ascii="Times New Roman" w:hAnsi="Times New Roman"/>
          <w:b w:val="0"/>
          <w:i/>
          <w:sz w:val="24"/>
        </w:rPr>
        <w:t>E. coli</w:t>
      </w:r>
      <w:r>
        <w:rPr>
          <w:rFonts w:ascii="Times New Roman" w:hAnsi="Times New Roman"/>
          <w:b w:val="0"/>
          <w:i w:val="0"/>
          <w:sz w:val="24"/>
        </w:rPr>
        <w:t xml:space="preserve"> bearing both Class I and Class II integrons specifically from commercially traded, vendor-sourced poultry litter in Zaria Metropolis, a setting and study matrix previously uncharacterized in the Nigerian AMR literature. It distinguishes itself from prior Nigerian studies by targeting the manure vendor market as a distinct and high-risk urban interface, rather than the poultry farm or retail carcass.</w:t>
      </w:r>
    </w:p>
    <w:p>
      <w:pPr>
        <w:pStyle w:val="ListNumber"/>
        <w:spacing w:before="40" w:after="40" w:line="240" w:lineRule="auto"/>
        <w:jc w:val="both"/>
      </w:pPr>
      <w:r>
        <w:rPr>
          <w:rFonts w:ascii="Times New Roman" w:hAnsi="Times New Roman"/>
          <w:b/>
          <w:i w:val="0"/>
          <w:sz w:val="24"/>
        </w:rPr>
        <w:t>Establishment of urban poultry manure vendor markets as AMR dissemination nodes.</w:t>
      </w:r>
      <w:r>
        <w:rPr>
          <w:rFonts w:ascii="Times New Roman" w:hAnsi="Times New Roman"/>
          <w:b w:val="0"/>
          <w:i w:val="0"/>
          <w:sz w:val="24"/>
        </w:rPr>
        <w:t xml:space="preserve"> The study demonstrates that informal poultry manure vendor markets in a North-West Nigerian metropolis are sites of concentrated MDR </w:t>
      </w:r>
      <w:r>
        <w:rPr>
          <w:rFonts w:ascii="Times New Roman" w:hAnsi="Times New Roman"/>
          <w:b w:val="0"/>
          <w:i/>
          <w:sz w:val="24"/>
        </w:rPr>
        <w:t>E. coli</w:t>
      </w:r>
      <w:r>
        <w:rPr>
          <w:rFonts w:ascii="Times New Roman" w:hAnsi="Times New Roman"/>
          <w:b w:val="0"/>
          <w:i w:val="0"/>
          <w:sz w:val="24"/>
        </w:rPr>
        <w:t xml:space="preserve"> carriage and integron-based resistance gene transfer potential, validating the One Health hypothesis that AMR surveillance must encompass environmental and agricultural matrices beyond clinical and farm settings.</w:t>
      </w:r>
    </w:p>
    <w:p>
      <w:pPr>
        <w:pStyle w:val="ListNumber"/>
        <w:spacing w:before="40" w:after="40" w:line="240" w:lineRule="auto"/>
        <w:jc w:val="both"/>
      </w:pPr>
      <w:r>
        <w:rPr>
          <w:rFonts w:ascii="Times New Roman" w:hAnsi="Times New Roman"/>
          <w:b/>
          <w:i w:val="0"/>
          <w:sz w:val="24"/>
        </w:rPr>
        <w:t>Baseline integron prevalence data for the region.</w:t>
      </w:r>
      <w:r>
        <w:rPr>
          <w:rFonts w:ascii="Times New Roman" w:hAnsi="Times New Roman"/>
          <w:b w:val="0"/>
          <w:i w:val="0"/>
          <w:sz w:val="24"/>
        </w:rPr>
        <w:t xml:space="preserve"> The Class I integron carriage rate of 97.2% and Class II integron rate of 75.6% constitute the first baseline data on integron prevalence in environmental </w:t>
      </w:r>
      <w:r>
        <w:rPr>
          <w:rFonts w:ascii="Times New Roman" w:hAnsi="Times New Roman"/>
          <w:b w:val="0"/>
          <w:i/>
          <w:sz w:val="24"/>
        </w:rPr>
        <w:t>E. coli</w:t>
      </w:r>
      <w:r>
        <w:rPr>
          <w:rFonts w:ascii="Times New Roman" w:hAnsi="Times New Roman"/>
          <w:b w:val="0"/>
          <w:i w:val="0"/>
          <w:sz w:val="24"/>
        </w:rPr>
        <w:t xml:space="preserve"> from the Zaria area, providing reference values for future longitudinal monitoring.</w:t>
      </w:r>
    </w:p>
    <w:p>
      <w:pPr>
        <w:pStyle w:val="ListNumber"/>
        <w:spacing w:before="40" w:after="40" w:line="240" w:lineRule="auto"/>
        <w:jc w:val="both"/>
      </w:pPr>
      <w:r>
        <w:rPr>
          <w:rFonts w:ascii="Times New Roman" w:hAnsi="Times New Roman"/>
          <w:b/>
          <w:i w:val="0"/>
          <w:sz w:val="24"/>
        </w:rPr>
        <w:t>Documentation of dual-integron co-carriage.</w:t>
      </w:r>
      <w:r>
        <w:rPr>
          <w:rFonts w:ascii="Times New Roman" w:hAnsi="Times New Roman"/>
          <w:b w:val="0"/>
          <w:i w:val="0"/>
          <w:sz w:val="24"/>
        </w:rPr>
        <w:t xml:space="preserve"> The co-carriage of both Class I and Class II integrons in 73.0% of MDR isolates is a novel finding for this geographic setting and resistance niche, highlighting a particularly complex molecular resistance architecture in vendor-distributed poultry litter that has not previously been characterized for North-West Nigeria.</w:t>
      </w:r>
    </w:p>
    <w:p>
      <w:pPr>
        <w:pStyle w:val="Heading3"/>
        <w:spacing w:before="120" w:after="60" w:line="480" w:lineRule="auto"/>
        <w:jc w:val="left"/>
      </w:pPr>
      <w:r>
        <w:rPr>
          <w:rFonts w:ascii="Times New Roman" w:hAnsi="Times New Roman"/>
          <w:b/>
          <w:i w:val="0"/>
          <w:color w:val="000000"/>
          <w:sz w:val="24"/>
        </w:rPr>
        <w:t>6.5 Suggestions for Further Studies</w:t>
      </w:r>
    </w:p>
    <w:p>
      <w:pPr>
        <w:spacing w:before="0" w:after="120" w:line="480" w:lineRule="auto"/>
        <w:jc w:val="both"/>
      </w:pPr>
      <w:r>
        <w:rPr>
          <w:rFonts w:ascii="Times New Roman" w:hAnsi="Times New Roman"/>
          <w:b w:val="0"/>
          <w:i w:val="0"/>
          <w:sz w:val="24"/>
        </w:rPr>
        <w:t>In view of the findings and limitations of this study, the following areas are recommended for future investigation:</w:t>
      </w:r>
    </w:p>
    <w:p>
      <w:pPr>
        <w:pStyle w:val="ListNumber"/>
        <w:spacing w:before="40" w:after="40" w:line="240" w:lineRule="auto"/>
        <w:jc w:val="both"/>
      </w:pPr>
      <w:r>
        <w:rPr>
          <w:rFonts w:ascii="Times New Roman" w:hAnsi="Times New Roman"/>
          <w:b w:val="0"/>
          <w:i w:val="0"/>
          <w:sz w:val="24"/>
        </w:rPr>
        <w:t xml:space="preserve">Identification of specific resistance gene cassettes within Class I and Class II integron variable regions, including </w:t>
      </w:r>
      <w:r>
        <w:rPr>
          <w:rFonts w:ascii="Times New Roman" w:hAnsi="Times New Roman"/>
          <w:b w:val="0"/>
          <w:i/>
          <w:sz w:val="24"/>
        </w:rPr>
        <w:t>aadA</w:t>
      </w:r>
      <w:r>
        <w:rPr>
          <w:rFonts w:ascii="Times New Roman" w:hAnsi="Times New Roman"/>
          <w:b w:val="0"/>
          <w:i w:val="0"/>
          <w:sz w:val="24"/>
        </w:rPr>
        <w:t xml:space="preserve">, </w:t>
      </w:r>
      <w:r>
        <w:rPr>
          <w:rFonts w:ascii="Times New Roman" w:hAnsi="Times New Roman"/>
          <w:b w:val="0"/>
          <w:i/>
          <w:sz w:val="24"/>
        </w:rPr>
        <w:t>dfrA</w:t>
      </w:r>
      <w:r>
        <w:rPr>
          <w:rFonts w:ascii="Times New Roman" w:hAnsi="Times New Roman"/>
          <w:b w:val="0"/>
          <w:i w:val="0"/>
          <w:sz w:val="24"/>
        </w:rPr>
        <w:t xml:space="preserve">, </w:t>
      </w:r>
      <w:r>
        <w:rPr>
          <w:rFonts w:ascii="Times New Roman" w:hAnsi="Times New Roman"/>
          <w:b w:val="0"/>
          <w:i/>
          <w:sz w:val="24"/>
        </w:rPr>
        <w:t>blaOXA</w:t>
      </w:r>
      <w:r>
        <w:rPr>
          <w:rFonts w:ascii="Times New Roman" w:hAnsi="Times New Roman"/>
          <w:b w:val="0"/>
          <w:i w:val="0"/>
          <w:sz w:val="24"/>
        </w:rPr>
        <w:t xml:space="preserve">, </w:t>
      </w:r>
      <w:r>
        <w:rPr>
          <w:rFonts w:ascii="Times New Roman" w:hAnsi="Times New Roman"/>
          <w:b w:val="0"/>
          <w:i/>
          <w:sz w:val="24"/>
        </w:rPr>
        <w:t>sat</w:t>
      </w:r>
      <w:r>
        <w:rPr>
          <w:rFonts w:ascii="Times New Roman" w:hAnsi="Times New Roman"/>
          <w:b w:val="0"/>
          <w:i w:val="0"/>
          <w:sz w:val="24"/>
        </w:rPr>
        <w:t xml:space="preserve">, and </w:t>
      </w:r>
      <w:r>
        <w:rPr>
          <w:rFonts w:ascii="Times New Roman" w:hAnsi="Times New Roman"/>
          <w:b w:val="0"/>
          <w:i/>
          <w:sz w:val="24"/>
        </w:rPr>
        <w:t>linF</w:t>
      </w:r>
      <w:r>
        <w:rPr>
          <w:rFonts w:ascii="Times New Roman" w:hAnsi="Times New Roman"/>
          <w:b w:val="0"/>
          <w:i w:val="0"/>
          <w:sz w:val="24"/>
        </w:rPr>
        <w:t xml:space="preserve"> cassettes, using PCR amplification followed by Sanger sequencing or next-generation sequencing of the integron gene cassette arrays.</w:t>
      </w:r>
    </w:p>
    <w:p>
      <w:pPr>
        <w:pStyle w:val="ListNumber"/>
        <w:spacing w:before="40" w:after="40" w:line="240" w:lineRule="auto"/>
        <w:jc w:val="both"/>
      </w:pPr>
      <w:r>
        <w:rPr>
          <w:rFonts w:ascii="Times New Roman" w:hAnsi="Times New Roman"/>
          <w:b w:val="0"/>
          <w:i w:val="0"/>
          <w:sz w:val="24"/>
        </w:rPr>
        <w:t>Whole-genome sequencing and comparative genomics of selected MDR isolates to determine plasmid incompatibility groups, identify the genetic context of integron elements, and characterize the full resistome and virulome of vendor-sourced poultry litter E. coli.</w:t>
      </w:r>
    </w:p>
    <w:p>
      <w:pPr>
        <w:pStyle w:val="ListNumber"/>
        <w:spacing w:before="40" w:after="40" w:line="240" w:lineRule="auto"/>
        <w:jc w:val="both"/>
      </w:pPr>
      <w:r>
        <w:rPr>
          <w:rFonts w:ascii="Times New Roman" w:hAnsi="Times New Roman"/>
          <w:b w:val="0"/>
          <w:i w:val="0"/>
          <w:sz w:val="24"/>
        </w:rPr>
        <w:t>A longitudinal time-series study at the same eight vendor locations, with sampling across multiple seasons, to assess whether MDR E. coli prevalence and integron carriage rates are stable, increasing, or decreasing over time, and to identify any seasonal drivers of variation.</w:t>
      </w:r>
    </w:p>
    <w:p>
      <w:pPr>
        <w:pStyle w:val="ListNumber"/>
        <w:spacing w:before="40" w:after="40" w:line="240" w:lineRule="auto"/>
        <w:jc w:val="both"/>
      </w:pPr>
      <w:r>
        <w:rPr>
          <w:rFonts w:ascii="Times New Roman" w:hAnsi="Times New Roman"/>
          <w:b w:val="0"/>
          <w:i w:val="0"/>
          <w:sz w:val="24"/>
        </w:rPr>
        <w:t>A broader One Health investigation linking vendor-sourced litter to adjacent agricultural soils post-application, irrigation water, harvested vegetables, and exposed humans (vendor workers and urban gardeners) to construct a quantitative risk assessment of the full manure-to-human ARG transmission pathway in Zaria Metropolis.</w:t>
      </w:r>
    </w:p>
    <w:p>
      <w:pPr>
        <w:pStyle w:val="ListNumber"/>
        <w:spacing w:before="40" w:after="40" w:line="240" w:lineRule="auto"/>
        <w:jc w:val="both"/>
      </w:pPr>
      <w:r>
        <w:rPr>
          <w:rFonts w:ascii="Times New Roman" w:hAnsi="Times New Roman"/>
          <w:b w:val="0"/>
          <w:i w:val="0"/>
          <w:sz w:val="24"/>
        </w:rPr>
        <w:t xml:space="preserve">Carbapenemase gene surveillance, targeting </w:t>
      </w:r>
      <w:r>
        <w:rPr>
          <w:rFonts w:ascii="Times New Roman" w:hAnsi="Times New Roman"/>
          <w:b w:val="0"/>
          <w:i/>
          <w:sz w:val="24"/>
        </w:rPr>
        <w:t>bla</w:t>
      </w:r>
      <w:r>
        <w:rPr>
          <w:rFonts w:ascii="Times New Roman" w:hAnsi="Times New Roman"/>
          <w:b w:val="0"/>
          <w:i w:val="0"/>
          <w:sz w:val="24"/>
        </w:rPr>
        <w:t xml:space="preserve">NDM-1, </w:t>
      </w:r>
      <w:r>
        <w:rPr>
          <w:rFonts w:ascii="Times New Roman" w:hAnsi="Times New Roman"/>
          <w:b w:val="0"/>
          <w:i/>
          <w:sz w:val="24"/>
        </w:rPr>
        <w:t>bla</w:t>
      </w:r>
      <w:r>
        <w:rPr>
          <w:rFonts w:ascii="Times New Roman" w:hAnsi="Times New Roman"/>
          <w:b w:val="0"/>
          <w:i w:val="0"/>
          <w:sz w:val="24"/>
        </w:rPr>
        <w:t xml:space="preserve">KPC, </w:t>
      </w:r>
      <w:r>
        <w:rPr>
          <w:rFonts w:ascii="Times New Roman" w:hAnsi="Times New Roman"/>
          <w:b w:val="0"/>
          <w:i/>
          <w:sz w:val="24"/>
        </w:rPr>
        <w:t>bla</w:t>
      </w:r>
      <w:r>
        <w:rPr>
          <w:rFonts w:ascii="Times New Roman" w:hAnsi="Times New Roman"/>
          <w:b w:val="0"/>
          <w:i w:val="0"/>
          <w:sz w:val="24"/>
        </w:rPr>
        <w:t xml:space="preserve">OXA-48, and </w:t>
      </w:r>
      <w:r>
        <w:rPr>
          <w:rFonts w:ascii="Times New Roman" w:hAnsi="Times New Roman"/>
          <w:b w:val="0"/>
          <w:i/>
          <w:sz w:val="24"/>
        </w:rPr>
        <w:t>bla</w:t>
      </w:r>
      <w:r>
        <w:rPr>
          <w:rFonts w:ascii="Times New Roman" w:hAnsi="Times New Roman"/>
          <w:b w:val="0"/>
          <w:i w:val="0"/>
          <w:sz w:val="24"/>
        </w:rPr>
        <w:t>OXA-23, in the isolates from this study collection, using multiplex PCR or metagenomic approaches, given the clinical urgency of monitoring carbapenem resistance gene spread in environmental niches.</w:t>
      </w:r>
    </w:p>
    <w:p>
      <w:pPr>
        <w:pStyle w:val="ListNumber"/>
        <w:spacing w:before="40" w:after="40" w:line="240" w:lineRule="auto"/>
        <w:jc w:val="both"/>
      </w:pPr>
      <w:r>
        <w:rPr>
          <w:rFonts w:ascii="Times New Roman" w:hAnsi="Times New Roman"/>
          <w:b w:val="0"/>
          <w:i w:val="0"/>
          <w:sz w:val="24"/>
        </w:rPr>
        <w:t>A comparative study of MDR E. coli from vendor-sourced poultry litter versus hospital-derived clinical E. coli isolates from major referral health facilities in Zaria and Kaduna, using MLST or WGS to determine the degree of shared genetic ancestry and resistance determinants across the agricultural-clinical interface.</w:t>
      </w:r>
    </w:p>
    <w:p>
      <w:pPr>
        <w:pStyle w:val="ListNumber"/>
        <w:spacing w:before="40" w:after="40" w:line="240" w:lineRule="auto"/>
        <w:jc w:val="both"/>
      </w:pPr>
      <w:r>
        <w:rPr>
          <w:rFonts w:ascii="Times New Roman" w:hAnsi="Times New Roman"/>
          <w:b w:val="0"/>
          <w:i w:val="0"/>
          <w:sz w:val="24"/>
        </w:rPr>
        <w:t>An economic burden study quantifying the healthcare costs, productivity losses, and agricultural impacts attributable to AMR in the poultry-environment-human pathway in Kaduna State, to support evidence-based advocacy for AMR policy investment.</w:t>
      </w:r>
    </w:p>
    <w:p>
      <w:pPr>
        <w:pStyle w:val="Heading3"/>
        <w:spacing w:before="120" w:after="60" w:line="480" w:lineRule="auto"/>
        <w:jc w:val="left"/>
      </w:pPr>
      <w:r>
        <w:rPr>
          <w:rFonts w:ascii="Times New Roman" w:hAnsi="Times New Roman"/>
          <w:b/>
          <w:i w:val="0"/>
          <w:color w:val="000000"/>
          <w:sz w:val="24"/>
        </w:rPr>
        <w:t>References for Chapter 6</w:t>
      </w:r>
    </w:p>
    <w:p>
      <w:pPr>
        <w:spacing w:before="0" w:after="120" w:line="480" w:lineRule="auto"/>
        <w:jc w:val="both"/>
      </w:pPr>
      <w:r>
        <w:rPr>
          <w:rFonts w:ascii="Times New Roman" w:hAnsi="Times New Roman"/>
          <w:b w:val="0"/>
          <w:i/>
          <w:sz w:val="24"/>
        </w:rPr>
        <w:t>(Full reference list in Chapter 8: References and Appendices)</w:t>
      </w:r>
    </w:p>
    <w:p>
      <w:pPr>
        <w:spacing w:before="0" w:after="120" w:line="480" w:lineRule="auto"/>
        <w:jc w:val="both"/>
      </w:pPr>
      <w:r>
        <w:rPr>
          <w:rFonts w:ascii="Times New Roman" w:hAnsi="Times New Roman"/>
          <w:b/>
          <w:i w:val="0"/>
          <w:sz w:val="24"/>
        </w:rPr>
        <w:t>In-text citations used in this chapter:</w:t>
      </w:r>
    </w:p>
    <w:p>
      <w:pPr>
        <w:pStyle w:val="ListBullet"/>
        <w:spacing w:before="40" w:after="40" w:line="240" w:lineRule="auto"/>
        <w:jc w:val="both"/>
      </w:pPr>
      <w:r>
        <w:rPr>
          <w:rFonts w:ascii="Times New Roman" w:hAnsi="Times New Roman"/>
          <w:b w:val="0"/>
          <w:i w:val="0"/>
          <w:sz w:val="24"/>
        </w:rPr>
        <w:t>CLSI (2024) ⚑: standards document</w:t>
      </w:r>
    </w:p>
    <w:p>
      <w:pPr>
        <w:pStyle w:val="ListBullet"/>
        <w:spacing w:before="40" w:after="40" w:line="240" w:lineRule="auto"/>
        <w:jc w:val="both"/>
      </w:pPr>
      <w:r>
        <w:rPr>
          <w:rFonts w:ascii="Times New Roman" w:hAnsi="Times New Roman"/>
          <w:b w:val="0"/>
          <w:i w:val="0"/>
          <w:sz w:val="24"/>
        </w:rPr>
        <w:t xml:space="preserve">Fonseca et al. (2005): </w:t>
      </w:r>
      <w:r>
        <w:rPr>
          <w:rFonts w:ascii="Times New Roman" w:hAnsi="Times New Roman"/>
          <w:b w:val="0"/>
          <w:i/>
          <w:sz w:val="24"/>
        </w:rPr>
        <w:t>Fonseca2005_intgr.pdf</w:t>
      </w:r>
    </w:p>
    <w:p>
      <w:pPr>
        <w:pStyle w:val="ListBullet"/>
        <w:spacing w:before="40" w:after="40" w:line="240" w:lineRule="auto"/>
        <w:jc w:val="both"/>
      </w:pPr>
      <w:r>
        <w:rPr>
          <w:rFonts w:ascii="Times New Roman" w:hAnsi="Times New Roman"/>
          <w:b w:val="0"/>
          <w:i w:val="0"/>
          <w:sz w:val="24"/>
        </w:rPr>
        <w:t xml:space="preserve">Goldstein et al. (2001): </w:t>
      </w:r>
      <w:r>
        <w:rPr>
          <w:rFonts w:ascii="Times New Roman" w:hAnsi="Times New Roman"/>
          <w:b w:val="0"/>
          <w:i/>
          <w:sz w:val="24"/>
        </w:rPr>
        <w:t>Goldstein2001.pdf</w:t>
      </w:r>
    </w:p>
    <w:p>
      <w:pPr>
        <w:pStyle w:val="ListBullet"/>
        <w:spacing w:before="40" w:after="40" w:line="240" w:lineRule="auto"/>
        <w:jc w:val="both"/>
      </w:pPr>
      <w:r>
        <w:rPr>
          <w:rFonts w:ascii="Times New Roman" w:hAnsi="Times New Roman"/>
          <w:b w:val="0"/>
          <w:i w:val="0"/>
          <w:sz w:val="24"/>
        </w:rPr>
        <w:t xml:space="preserve">Murray et al. (2022): </w:t>
      </w:r>
      <w:r>
        <w:rPr>
          <w:rFonts w:ascii="Times New Roman" w:hAnsi="Times New Roman"/>
          <w:b w:val="0"/>
          <w:i/>
          <w:sz w:val="24"/>
        </w:rPr>
        <w:t>Murray2022.pdf</w:t>
      </w:r>
    </w:p>
    <w:p>
      <w:pPr>
        <w:pStyle w:val="ListBullet"/>
        <w:spacing w:before="40" w:after="40" w:line="240" w:lineRule="auto"/>
        <w:jc w:val="both"/>
      </w:pPr>
      <w:r>
        <w:rPr>
          <w:rFonts w:ascii="Times New Roman" w:hAnsi="Times New Roman"/>
          <w:b w:val="0"/>
          <w:i w:val="0"/>
          <w:sz w:val="24"/>
        </w:rPr>
        <w:t xml:space="preserve">Roe &amp; Pillai (2003): </w:t>
      </w:r>
      <w:r>
        <w:rPr>
          <w:rFonts w:ascii="Times New Roman" w:hAnsi="Times New Roman"/>
          <w:b w:val="0"/>
          <w:i/>
          <w:sz w:val="24"/>
        </w:rPr>
        <w:t>Roe2003.pdf</w:t>
      </w:r>
    </w:p>
    <w:p>
      <w:r>
        <w:br w:type="page"/>
      </w:r>
    </w:p>
    <w:p>
      <w:pPr>
        <w:pStyle w:val="Heading1"/>
        <w:spacing w:before="240" w:after="120" w:line="480" w:lineRule="auto"/>
        <w:jc w:val="center"/>
      </w:pPr>
      <w:r>
        <w:rPr>
          <w:rFonts w:ascii="Times New Roman" w:hAnsi="Times New Roman"/>
          <w:b/>
          <w:i w:val="0"/>
          <w:color w:val="000000"/>
          <w:sz w:val="28"/>
        </w:rPr>
        <w:t>REFERENCES</w:t>
      </w:r>
    </w:p>
    <w:p>
      <w:pPr>
        <w:spacing w:before="0" w:after="120" w:line="240" w:lineRule="auto"/>
        <w:ind w:left="720" w:hanging="720"/>
        <w:jc w:val="both"/>
      </w:pPr>
      <w:r>
        <w:rPr>
          <w:rFonts w:ascii="Times New Roman" w:hAnsi="Times New Roman"/>
          <w:b w:val="0"/>
          <w:i w:val="0"/>
          <w:sz w:val="24"/>
        </w:rPr>
        <w:t xml:space="preserve">Abdalla, S. E., Abia, A. L. K., Amoako, D. G., Perrett, K., &amp; Bester, L. A. (2021). From farm-to-fork: </w:t>
      </w:r>
      <w:r>
        <w:rPr>
          <w:rFonts w:ascii="Times New Roman" w:hAnsi="Times New Roman"/>
          <w:b w:val="0"/>
          <w:i/>
          <w:sz w:val="24"/>
        </w:rPr>
        <w:t>E. coli</w:t>
      </w:r>
      <w:r>
        <w:rPr>
          <w:rFonts w:ascii="Times New Roman" w:hAnsi="Times New Roman"/>
          <w:b w:val="0"/>
          <w:i w:val="0"/>
          <w:sz w:val="24"/>
        </w:rPr>
        <w:t xml:space="preserve"> from an intensive pig production system in South Africa shows high resistance to critically important antibiotics for human and animal use. </w:t>
      </w:r>
      <w:r>
        <w:rPr>
          <w:rFonts w:ascii="Times New Roman" w:hAnsi="Times New Roman"/>
          <w:b w:val="0"/>
          <w:i/>
          <w:sz w:val="24"/>
        </w:rPr>
        <w:t>Antibiotics, 10</w:t>
      </w:r>
      <w:r>
        <w:rPr>
          <w:rFonts w:ascii="Times New Roman" w:hAnsi="Times New Roman"/>
          <w:b w:val="0"/>
          <w:i w:val="0"/>
          <w:sz w:val="24"/>
        </w:rPr>
        <w:t>(2), 178. https://doi.org/10.3390/antibiotics10020178 ✓</w:t>
      </w:r>
    </w:p>
    <w:p>
      <w:pPr>
        <w:spacing w:before="0" w:after="120" w:line="240" w:lineRule="auto"/>
        <w:ind w:left="720" w:hanging="720"/>
        <w:jc w:val="both"/>
      </w:pPr>
      <w:r>
        <w:rPr>
          <w:rFonts w:ascii="Times New Roman" w:hAnsi="Times New Roman"/>
          <w:b w:val="0"/>
          <w:i w:val="0"/>
          <w:sz w:val="24"/>
        </w:rPr>
        <w:t xml:space="preserve">Abebe, E., Gugsa, G., Ahmed, M., Awol, N., Tefera, Y., Abegaz, S., &amp; Sisay, T. (2023). Occurrence and antimicrobial resistance pattern of </w:t>
      </w:r>
      <w:r>
        <w:rPr>
          <w:rFonts w:ascii="Times New Roman" w:hAnsi="Times New Roman"/>
          <w:b w:val="0"/>
          <w:i/>
          <w:sz w:val="24"/>
        </w:rPr>
        <w:t>E. coli</w:t>
      </w:r>
      <w:r>
        <w:rPr>
          <w:rFonts w:ascii="Times New Roman" w:hAnsi="Times New Roman"/>
          <w:b w:val="0"/>
          <w:i w:val="0"/>
          <w:sz w:val="24"/>
        </w:rPr>
        <w:t xml:space="preserve"> O157:H7 isolated from foods of bovine origin in Dessie and Kombolcha towns, Ethiopia. </w:t>
      </w:r>
      <w:r>
        <w:rPr>
          <w:rFonts w:ascii="Times New Roman" w:hAnsi="Times New Roman"/>
          <w:b w:val="0"/>
          <w:i/>
          <w:sz w:val="24"/>
        </w:rPr>
        <w:t>PLOS Neglected Tropical Diseases, 17</w:t>
      </w:r>
      <w:r>
        <w:rPr>
          <w:rFonts w:ascii="Times New Roman" w:hAnsi="Times New Roman"/>
          <w:b w:val="0"/>
          <w:i w:val="0"/>
          <w:sz w:val="24"/>
        </w:rPr>
        <w:t>(1), e0011017. https://doi.org/10.1371/journal.pntd.0011017 ✓</w:t>
      </w:r>
    </w:p>
    <w:p>
      <w:pPr>
        <w:spacing w:before="0" w:after="120" w:line="240" w:lineRule="auto"/>
        <w:ind w:left="720" w:hanging="720"/>
        <w:jc w:val="both"/>
      </w:pPr>
      <w:r>
        <w:rPr>
          <w:rFonts w:ascii="Times New Roman" w:hAnsi="Times New Roman"/>
          <w:b w:val="0"/>
          <w:i w:val="0"/>
          <w:sz w:val="24"/>
        </w:rPr>
        <w:t xml:space="preserve">Adesokan, H. K., Akanbi, I. O., Akanbi, I. M., &amp; Obaweda, R. A. (2015). Pattern of antimicrobial usage in livestock animals in south-western Nigeria: the need for alternative plans. </w:t>
      </w:r>
      <w:r>
        <w:rPr>
          <w:rFonts w:ascii="Times New Roman" w:hAnsi="Times New Roman"/>
          <w:b w:val="0"/>
          <w:i/>
          <w:sz w:val="24"/>
        </w:rPr>
        <w:t>Onderstepoort Journal of Veterinary Research, 82</w:t>
      </w:r>
      <w:r>
        <w:rPr>
          <w:rFonts w:ascii="Times New Roman" w:hAnsi="Times New Roman"/>
          <w:b w:val="0"/>
          <w:i w:val="0"/>
          <w:sz w:val="24"/>
        </w:rPr>
        <w:t>(1), E1–E6. https://doi.org/10.4102/ojvr.v82i1.816 ✓</w:t>
      </w:r>
    </w:p>
    <w:p>
      <w:pPr>
        <w:spacing w:before="0" w:after="120" w:line="240" w:lineRule="auto"/>
        <w:ind w:left="720" w:hanging="720"/>
        <w:jc w:val="both"/>
      </w:pPr>
      <w:r>
        <w:rPr>
          <w:rFonts w:ascii="Times New Roman" w:hAnsi="Times New Roman"/>
          <w:b w:val="0"/>
          <w:i w:val="0"/>
          <w:sz w:val="24"/>
        </w:rPr>
        <w:t xml:space="preserve">Afunwa, R. A., Ezeanyinka, J., Afunwa, E. C., Udeh, A. S., Oli, N. A., &amp; Unachukwu, M. (2020). Multiple antibiotic resistant index of Gram-negative bacteria from bird droppings in two commercial poultries in Enugu, Nigeria. </w:t>
      </w:r>
      <w:r>
        <w:rPr>
          <w:rFonts w:ascii="Times New Roman" w:hAnsi="Times New Roman"/>
          <w:b w:val="0"/>
          <w:i/>
          <w:sz w:val="24"/>
        </w:rPr>
        <w:t>Open Journal of Medical Microbiology, 10</w:t>
      </w:r>
      <w:r>
        <w:rPr>
          <w:rFonts w:ascii="Times New Roman" w:hAnsi="Times New Roman"/>
          <w:b w:val="0"/>
          <w:i w:val="0"/>
          <w:sz w:val="24"/>
        </w:rPr>
        <w:t>, 171–181. https://doi.org/10.4236/ojmm.2020.104015 ✓</w:t>
      </w:r>
    </w:p>
    <w:p>
      <w:pPr>
        <w:spacing w:before="0" w:after="120" w:line="240" w:lineRule="auto"/>
        <w:ind w:left="720" w:hanging="720"/>
        <w:jc w:val="both"/>
      </w:pPr>
      <w:r>
        <w:rPr>
          <w:rFonts w:ascii="Times New Roman" w:hAnsi="Times New Roman"/>
          <w:b w:val="0"/>
          <w:i w:val="0"/>
          <w:sz w:val="24"/>
        </w:rPr>
        <w:t xml:space="preserve">Agusi, E. R., Adeyemo, K. V., Bitrus, A. A., Bolarinwa, O. A., &amp; Arowolo, A. T. (2024). Prevalence of multidrug-resistant </w:t>
      </w:r>
      <w:r>
        <w:rPr>
          <w:rFonts w:ascii="Times New Roman" w:hAnsi="Times New Roman"/>
          <w:b w:val="0"/>
          <w:i/>
          <w:sz w:val="24"/>
        </w:rPr>
        <w:t>Escherichia coli</w:t>
      </w:r>
      <w:r>
        <w:rPr>
          <w:rFonts w:ascii="Times New Roman" w:hAnsi="Times New Roman"/>
          <w:b w:val="0"/>
          <w:i w:val="0"/>
          <w:sz w:val="24"/>
        </w:rPr>
        <w:t xml:space="preserve"> isolates and virulence genes in poultry samples from Jos, Nigeria. </w:t>
      </w:r>
      <w:r>
        <w:rPr>
          <w:rFonts w:ascii="Times New Roman" w:hAnsi="Times New Roman"/>
          <w:b w:val="0"/>
          <w:i/>
          <w:sz w:val="24"/>
        </w:rPr>
        <w:t>Frontiers in Microbiology, 15</w:t>
      </w:r>
      <w:r>
        <w:rPr>
          <w:rFonts w:ascii="Times New Roman" w:hAnsi="Times New Roman"/>
          <w:b w:val="0"/>
          <w:i w:val="0"/>
          <w:sz w:val="24"/>
        </w:rPr>
        <w:t>, 1325606. https://doi.org/10.3389/fmicb.2024.1325606 ✓</w:t>
      </w:r>
    </w:p>
    <w:p>
      <w:pPr>
        <w:spacing w:before="0" w:after="120" w:line="240" w:lineRule="auto"/>
        <w:ind w:left="720" w:hanging="720"/>
        <w:jc w:val="both"/>
      </w:pPr>
      <w:r>
        <w:rPr>
          <w:rFonts w:ascii="Times New Roman" w:hAnsi="Times New Roman"/>
          <w:b w:val="0"/>
          <w:i w:val="0"/>
          <w:sz w:val="24"/>
        </w:rPr>
        <w:t xml:space="preserve">Ajibola, A. T., de Lagarde, M., Ojo, O. E., Balogun, S. A., Vanier, G., Fairbrother, J. M., &amp; Shittu, O. B. (2025). Antimicrobial resistance and virulence gene profiles of </w:t>
      </w:r>
      <w:r>
        <w:rPr>
          <w:rFonts w:ascii="Times New Roman" w:hAnsi="Times New Roman"/>
          <w:b w:val="0"/>
          <w:i/>
          <w:sz w:val="24"/>
        </w:rPr>
        <w:t>Escherichia coli</w:t>
      </w:r>
      <w:r>
        <w:rPr>
          <w:rFonts w:ascii="Times New Roman" w:hAnsi="Times New Roman"/>
          <w:b w:val="0"/>
          <w:i w:val="0"/>
          <w:sz w:val="24"/>
        </w:rPr>
        <w:t xml:space="preserve"> isolated from poultry farms using One Health perspective in Abeokuta, Nigeria. </w:t>
      </w:r>
      <w:r>
        <w:rPr>
          <w:rFonts w:ascii="Times New Roman" w:hAnsi="Times New Roman"/>
          <w:b w:val="0"/>
          <w:i/>
          <w:sz w:val="24"/>
        </w:rPr>
        <w:t>BMC Microbiology, 25</w:t>
      </w:r>
      <w:r>
        <w:rPr>
          <w:rFonts w:ascii="Times New Roman" w:hAnsi="Times New Roman"/>
          <w:b w:val="0"/>
          <w:i w:val="0"/>
          <w:sz w:val="24"/>
        </w:rPr>
        <w:t>, 440. https://doi.org/10.1186/s12866-025-04135-9 ✓</w:t>
      </w:r>
    </w:p>
    <w:p>
      <w:pPr>
        <w:spacing w:before="0" w:after="120" w:line="240" w:lineRule="auto"/>
        <w:ind w:left="720" w:hanging="720"/>
        <w:jc w:val="both"/>
      </w:pPr>
      <w:r>
        <w:rPr>
          <w:rFonts w:ascii="Times New Roman" w:hAnsi="Times New Roman"/>
          <w:b w:val="0"/>
          <w:i w:val="0"/>
          <w:sz w:val="24"/>
        </w:rPr>
        <w:t xml:space="preserve">Antony, J. (2025). Antimicrobial resistance, integron and class 1 integron in </w:t>
      </w:r>
      <w:r>
        <w:rPr>
          <w:rFonts w:ascii="Times New Roman" w:hAnsi="Times New Roman"/>
          <w:b w:val="0"/>
          <w:i/>
          <w:sz w:val="24"/>
        </w:rPr>
        <w:t>E. coli</w:t>
      </w:r>
      <w:r>
        <w:rPr>
          <w:rFonts w:ascii="Times New Roman" w:hAnsi="Times New Roman"/>
          <w:b w:val="0"/>
          <w:i w:val="0"/>
          <w:sz w:val="24"/>
        </w:rPr>
        <w:t xml:space="preserve"> isolated from ready-to-eat foods. </w:t>
      </w:r>
      <w:r>
        <w:rPr>
          <w:rFonts w:ascii="Times New Roman" w:hAnsi="Times New Roman"/>
          <w:b w:val="0"/>
          <w:i/>
          <w:sz w:val="24"/>
        </w:rPr>
        <w:t>Journal of Advances in Microbiology Research, 6</w:t>
      </w:r>
      <w:r>
        <w:rPr>
          <w:rFonts w:ascii="Times New Roman" w:hAnsi="Times New Roman"/>
          <w:b w:val="0"/>
          <w:i w:val="0"/>
          <w:sz w:val="24"/>
        </w:rPr>
        <w:t>(1), 95–101. https://dx.doi.org/10.22271/micro.2025.v6.i1b.201 ✓</w:t>
      </w:r>
    </w:p>
    <w:p>
      <w:pPr>
        <w:spacing w:before="0" w:after="120" w:line="240" w:lineRule="auto"/>
        <w:ind w:left="720" w:hanging="720"/>
        <w:jc w:val="both"/>
      </w:pPr>
      <w:r>
        <w:rPr>
          <w:rFonts w:ascii="Times New Roman" w:hAnsi="Times New Roman"/>
          <w:b w:val="0"/>
          <w:i w:val="0"/>
          <w:sz w:val="24"/>
        </w:rPr>
        <w:t xml:space="preserve">Aworh, M. K., Kwaga, J. K., Hendriksen, R. S., &amp; Okolocha, E. C. (2021). Assessing knowledge, attitude, and practices of veterinarians towards antimicrobial use and stewardship as drivers of inappropriate use in Abuja, Nigeria. </w:t>
      </w:r>
      <w:r>
        <w:rPr>
          <w:rFonts w:ascii="Times New Roman" w:hAnsi="Times New Roman"/>
          <w:b w:val="0"/>
          <w:i/>
          <w:sz w:val="24"/>
        </w:rPr>
        <w:t>One Health Outlook, 3</w:t>
      </w:r>
      <w:r>
        <w:rPr>
          <w:rFonts w:ascii="Times New Roman" w:hAnsi="Times New Roman"/>
          <w:b w:val="0"/>
          <w:i w:val="0"/>
          <w:sz w:val="24"/>
        </w:rPr>
        <w:t>(1), 18. https://doi.org/10.1186/s42522-021-00058-3 ✓</w:t>
      </w:r>
    </w:p>
    <w:p>
      <w:pPr>
        <w:spacing w:before="0" w:after="120" w:line="240" w:lineRule="auto"/>
        <w:ind w:left="720" w:hanging="720"/>
        <w:jc w:val="both"/>
      </w:pPr>
      <w:r>
        <w:rPr>
          <w:rFonts w:ascii="Times New Roman" w:hAnsi="Times New Roman"/>
          <w:b w:val="0"/>
          <w:i w:val="0"/>
          <w:sz w:val="24"/>
        </w:rPr>
        <w:t xml:space="preserve">Cassini, A., Diaz Högberg, L., Plachouras, D., Quattrocchi, A., Hoxha, A., Simonsen, G. S., Colomb-Cotinat, M., Kretzschmar, M. E., Devleesschauwer, B., Cecchini, M., Ait Ouakrim, D., Cravo Oliveira, T., Struelens, M. J., Suetens, C., Monnet, D. L., &amp; the Burden of AMR Collaborative Group. (2019). Attributable deaths and disability-adjusted life-years caused by infections with antibiotic-resistant bacteria in the EU and the European Economic Area in 2015: a population-level modelling analysis. </w:t>
      </w:r>
      <w:r>
        <w:rPr>
          <w:rFonts w:ascii="Times New Roman" w:hAnsi="Times New Roman"/>
          <w:b w:val="0"/>
          <w:i/>
          <w:sz w:val="24"/>
        </w:rPr>
        <w:t>The Lancet Infectious Diseases, 19</w:t>
      </w:r>
      <w:r>
        <w:rPr>
          <w:rFonts w:ascii="Times New Roman" w:hAnsi="Times New Roman"/>
          <w:b w:val="0"/>
          <w:i w:val="0"/>
          <w:sz w:val="24"/>
        </w:rPr>
        <w:t>(1), 56–66. https://doi.org/10.1016/S1473-3099(18)30605-4 ✓</w:t>
      </w:r>
    </w:p>
    <w:p>
      <w:pPr>
        <w:spacing w:before="0" w:after="120" w:line="240" w:lineRule="auto"/>
        <w:ind w:left="720" w:hanging="720"/>
        <w:jc w:val="both"/>
      </w:pPr>
      <w:r>
        <w:rPr>
          <w:rFonts w:ascii="Times New Roman" w:hAnsi="Times New Roman"/>
          <w:b w:val="0"/>
          <w:i w:val="0"/>
          <w:sz w:val="24"/>
        </w:rPr>
        <w:t xml:space="preserve">Caudell, M. A., Dorado-Garcia, A., Eckford, S., Creese, C., Byarugaba, D. K., Afakye, K., Chansa-Kabali, T., Fasina, F. O., Kabali, E., Kiambi, S., Kimani, T., Mainda, G., Mangesho, P. E., Chimfwembe, K., Dube, K., Kikimoto, B. B., Koka, E., Mugara, T., Ruberwa, B., &amp; Swiswa, S. (2020). Towards a bottom-up understanding of antimicrobial use and resistance on the farm: a knowledge, attitudes, and practices survey across livestock systems in five African countries. </w:t>
      </w:r>
      <w:r>
        <w:rPr>
          <w:rFonts w:ascii="Times New Roman" w:hAnsi="Times New Roman"/>
          <w:b w:val="0"/>
          <w:i/>
          <w:sz w:val="24"/>
        </w:rPr>
        <w:t>PLOS ONE, 15</w:t>
      </w:r>
      <w:r>
        <w:rPr>
          <w:rFonts w:ascii="Times New Roman" w:hAnsi="Times New Roman"/>
          <w:b w:val="0"/>
          <w:i w:val="0"/>
          <w:sz w:val="24"/>
        </w:rPr>
        <w:t>(1), e0225555. https://doi.org/10.1371/journal.pone.0225555 ✓</w:t>
      </w:r>
    </w:p>
    <w:p>
      <w:pPr>
        <w:spacing w:before="0" w:after="120" w:line="240" w:lineRule="auto"/>
        <w:ind w:left="720" w:hanging="720"/>
        <w:jc w:val="both"/>
      </w:pPr>
      <w:r>
        <w:rPr>
          <w:rFonts w:ascii="Times New Roman" w:hAnsi="Times New Roman"/>
          <w:b w:val="0"/>
          <w:i w:val="0"/>
          <w:sz w:val="24"/>
        </w:rPr>
        <w:t xml:space="preserve">Cavicchio, L., Dotto, G., Giacomelli, M., Giovanardi, D., Grilli, G., Franciosini, M. P., Trocino, A., &amp; Piccirillo, A. (2015). Class 1 and class 2 integrons in avian pathogenic </w:t>
      </w:r>
      <w:r>
        <w:rPr>
          <w:rFonts w:ascii="Times New Roman" w:hAnsi="Times New Roman"/>
          <w:b w:val="0"/>
          <w:i/>
          <w:sz w:val="24"/>
        </w:rPr>
        <w:t>Escherichia coli</w:t>
      </w:r>
      <w:r>
        <w:rPr>
          <w:rFonts w:ascii="Times New Roman" w:hAnsi="Times New Roman"/>
          <w:b w:val="0"/>
          <w:i w:val="0"/>
          <w:sz w:val="24"/>
        </w:rPr>
        <w:t xml:space="preserve"> from poultry in Italy. </w:t>
      </w:r>
      <w:r>
        <w:rPr>
          <w:rFonts w:ascii="Times New Roman" w:hAnsi="Times New Roman"/>
          <w:b w:val="0"/>
          <w:i/>
          <w:sz w:val="24"/>
        </w:rPr>
        <w:t>Poultry Science, 94</w:t>
      </w:r>
      <w:r>
        <w:rPr>
          <w:rFonts w:ascii="Times New Roman" w:hAnsi="Times New Roman"/>
          <w:b w:val="0"/>
          <w:i w:val="0"/>
          <w:sz w:val="24"/>
        </w:rPr>
        <w:t>(9), 2173–2179. https://doi.org/10.3382/ps/pev195 ✓</w:t>
      </w:r>
    </w:p>
    <w:p>
      <w:pPr>
        <w:spacing w:before="0" w:after="120" w:line="240" w:lineRule="auto"/>
        <w:ind w:left="720" w:hanging="720"/>
        <w:jc w:val="both"/>
      </w:pPr>
      <w:r>
        <w:rPr>
          <w:rFonts w:ascii="Times New Roman" w:hAnsi="Times New Roman"/>
          <w:b w:val="0"/>
          <w:i w:val="0"/>
          <w:sz w:val="24"/>
        </w:rPr>
        <w:t xml:space="preserve">Cheesbrough, M. (2006). </w:t>
      </w:r>
      <w:r>
        <w:rPr>
          <w:rFonts w:ascii="Times New Roman" w:hAnsi="Times New Roman"/>
          <w:b w:val="0"/>
          <w:i/>
          <w:sz w:val="24"/>
        </w:rPr>
        <w:t>District laboratory practice in tropical countries</w:t>
      </w:r>
      <w:r>
        <w:rPr>
          <w:rFonts w:ascii="Times New Roman" w:hAnsi="Times New Roman"/>
          <w:b w:val="0"/>
          <w:i w:val="0"/>
          <w:sz w:val="24"/>
        </w:rPr>
        <w:t xml:space="preserve"> (2nd ed., Part 2). Cambridge University Press. ⚑</w:t>
      </w:r>
    </w:p>
    <w:p>
      <w:pPr>
        <w:spacing w:before="0" w:after="120" w:line="240" w:lineRule="auto"/>
        <w:ind w:left="720" w:hanging="720"/>
        <w:jc w:val="both"/>
      </w:pPr>
      <w:r>
        <w:rPr>
          <w:rFonts w:ascii="Times New Roman" w:hAnsi="Times New Roman"/>
          <w:b w:val="0"/>
          <w:i w:val="0"/>
          <w:sz w:val="24"/>
        </w:rPr>
        <w:t xml:space="preserve">Cheng, H., Jiang, H., Fang, J., &amp; Zhu, C. (2019). Antibiotic resistance and characteristics of integrons in </w:t>
      </w:r>
      <w:r>
        <w:rPr>
          <w:rFonts w:ascii="Times New Roman" w:hAnsi="Times New Roman"/>
          <w:b w:val="0"/>
          <w:i/>
          <w:sz w:val="24"/>
        </w:rPr>
        <w:t>Escherichia coli</w:t>
      </w:r>
      <w:r>
        <w:rPr>
          <w:rFonts w:ascii="Times New Roman" w:hAnsi="Times New Roman"/>
          <w:b w:val="0"/>
          <w:i w:val="0"/>
          <w:sz w:val="24"/>
        </w:rPr>
        <w:t xml:space="preserve"> isolated from a freshwater shrimp farm in Zhejiang Province, China. </w:t>
      </w:r>
      <w:r>
        <w:rPr>
          <w:rFonts w:ascii="Times New Roman" w:hAnsi="Times New Roman"/>
          <w:b w:val="0"/>
          <w:i/>
          <w:sz w:val="24"/>
        </w:rPr>
        <w:t>Journal of Food Protection, 82</w:t>
      </w:r>
      <w:r>
        <w:rPr>
          <w:rFonts w:ascii="Times New Roman" w:hAnsi="Times New Roman"/>
          <w:b w:val="0"/>
          <w:i w:val="0"/>
          <w:sz w:val="24"/>
        </w:rPr>
        <w:t>(3), 470–478. https://doi.org/10.4315/0362-028X.JFP-18-444 ✓</w:t>
      </w:r>
    </w:p>
    <w:p>
      <w:pPr>
        <w:spacing w:before="0" w:after="120" w:line="240" w:lineRule="auto"/>
        <w:ind w:left="720" w:hanging="720"/>
        <w:jc w:val="both"/>
      </w:pPr>
      <w:r>
        <w:rPr>
          <w:rFonts w:ascii="Times New Roman" w:hAnsi="Times New Roman"/>
          <w:b w:val="0"/>
          <w:i w:val="0"/>
          <w:sz w:val="24"/>
        </w:rPr>
        <w:t xml:space="preserve">Clinical and Laboratory Standards Institute. (2024). </w:t>
      </w:r>
      <w:r>
        <w:rPr>
          <w:rFonts w:ascii="Times New Roman" w:hAnsi="Times New Roman"/>
          <w:b w:val="0"/>
          <w:i/>
          <w:sz w:val="24"/>
        </w:rPr>
        <w:t>Performance standards for antimicrobial susceptibility testing</w:t>
      </w:r>
      <w:r>
        <w:rPr>
          <w:rFonts w:ascii="Times New Roman" w:hAnsi="Times New Roman"/>
          <w:b w:val="0"/>
          <w:i w:val="0"/>
          <w:sz w:val="24"/>
        </w:rPr>
        <w:t xml:space="preserve"> (34th ed.; CLSI supplement M100). CLSI. ⚑</w:t>
      </w:r>
    </w:p>
    <w:p>
      <w:pPr>
        <w:spacing w:before="0" w:after="120" w:line="240" w:lineRule="auto"/>
        <w:ind w:left="720" w:hanging="720"/>
        <w:jc w:val="both"/>
      </w:pPr>
      <w:r>
        <w:rPr>
          <w:rFonts w:ascii="Times New Roman" w:hAnsi="Times New Roman"/>
          <w:b w:val="0"/>
          <w:i w:val="0"/>
          <w:sz w:val="24"/>
        </w:rPr>
        <w:t xml:space="preserve">Doyle, M. P., &amp; Erickson, M. C. (2015). Multidrug-resistant pathogens in the food supply. </w:t>
      </w:r>
      <w:r>
        <w:rPr>
          <w:rFonts w:ascii="Times New Roman" w:hAnsi="Times New Roman"/>
          <w:b w:val="0"/>
          <w:i/>
          <w:sz w:val="24"/>
        </w:rPr>
        <w:t>Foodborne Pathogens and Disease, 12</w:t>
      </w:r>
      <w:r>
        <w:rPr>
          <w:rFonts w:ascii="Times New Roman" w:hAnsi="Times New Roman"/>
          <w:b w:val="0"/>
          <w:i w:val="0"/>
          <w:sz w:val="24"/>
        </w:rPr>
        <w:t>(4), 261–279. https://doi.org/10.1089/fpd.2014.1865 ✓</w:t>
      </w:r>
    </w:p>
    <w:p>
      <w:pPr>
        <w:spacing w:before="0" w:after="120" w:line="240" w:lineRule="auto"/>
        <w:ind w:left="720" w:hanging="720"/>
        <w:jc w:val="both"/>
      </w:pPr>
      <w:r>
        <w:rPr>
          <w:rFonts w:ascii="Times New Roman" w:hAnsi="Times New Roman"/>
          <w:b w:val="0"/>
          <w:i w:val="0"/>
          <w:sz w:val="24"/>
        </w:rPr>
        <w:t xml:space="preserve">Ejeh, E. F., Adesiyun, A. A., &amp; Adamu, J. Y. (2017). Multiple antimicrobial resistance of </w:t>
      </w:r>
      <w:r>
        <w:rPr>
          <w:rFonts w:ascii="Times New Roman" w:hAnsi="Times New Roman"/>
          <w:b w:val="0"/>
          <w:i/>
          <w:sz w:val="24"/>
        </w:rPr>
        <w:t>Escherichia coli</w:t>
      </w:r>
      <w:r>
        <w:rPr>
          <w:rFonts w:ascii="Times New Roman" w:hAnsi="Times New Roman"/>
          <w:b w:val="0"/>
          <w:i w:val="0"/>
          <w:sz w:val="24"/>
        </w:rPr>
        <w:t xml:space="preserve"> and </w:t>
      </w:r>
      <w:r>
        <w:rPr>
          <w:rFonts w:ascii="Times New Roman" w:hAnsi="Times New Roman"/>
          <w:b w:val="0"/>
          <w:i/>
          <w:sz w:val="24"/>
        </w:rPr>
        <w:t>Salmonella</w:t>
      </w:r>
      <w:r>
        <w:rPr>
          <w:rFonts w:ascii="Times New Roman" w:hAnsi="Times New Roman"/>
          <w:b w:val="0"/>
          <w:i w:val="0"/>
          <w:sz w:val="24"/>
        </w:rPr>
        <w:t xml:space="preserve"> species isolated from broilers and local chickens retailed along the roadside in Zaria, Nigeria. </w:t>
      </w:r>
      <w:r>
        <w:rPr>
          <w:rFonts w:ascii="Times New Roman" w:hAnsi="Times New Roman"/>
          <w:b w:val="0"/>
          <w:i/>
          <w:sz w:val="24"/>
        </w:rPr>
        <w:t>Sokoto Journal of Veterinary Sciences, 15</w:t>
      </w:r>
      <w:r>
        <w:rPr>
          <w:rFonts w:ascii="Times New Roman" w:hAnsi="Times New Roman"/>
          <w:b w:val="0"/>
          <w:i w:val="0"/>
          <w:sz w:val="24"/>
        </w:rPr>
        <w:t>(3), 28–36. https://doi.org/10.4314/sokjvs.v15i3.7 ✓</w:t>
      </w:r>
    </w:p>
    <w:p>
      <w:pPr>
        <w:spacing w:before="0" w:after="120" w:line="240" w:lineRule="auto"/>
        <w:ind w:left="720" w:hanging="720"/>
        <w:jc w:val="both"/>
      </w:pPr>
      <w:r>
        <w:rPr>
          <w:rFonts w:ascii="Times New Roman" w:hAnsi="Times New Roman"/>
          <w:b w:val="0"/>
          <w:i w:val="0"/>
          <w:sz w:val="24"/>
        </w:rPr>
        <w:t xml:space="preserve">Fair, R. J., &amp; Tor, Y. (2014). Antibiotics and bacterial resistance in the 21st century. </w:t>
      </w:r>
      <w:r>
        <w:rPr>
          <w:rFonts w:ascii="Times New Roman" w:hAnsi="Times New Roman"/>
          <w:b w:val="0"/>
          <w:i/>
          <w:sz w:val="24"/>
        </w:rPr>
        <w:t>Perspectives in Medicinal Chemistry, 6</w:t>
      </w:r>
      <w:r>
        <w:rPr>
          <w:rFonts w:ascii="Times New Roman" w:hAnsi="Times New Roman"/>
          <w:b w:val="0"/>
          <w:i w:val="0"/>
          <w:sz w:val="24"/>
        </w:rPr>
        <w:t>, 25–64. https://doi.org/10.4137/PMC.S14459 ✓</w:t>
      </w:r>
    </w:p>
    <w:p>
      <w:pPr>
        <w:spacing w:before="0" w:after="120" w:line="240" w:lineRule="auto"/>
        <w:ind w:left="720" w:hanging="720"/>
        <w:jc w:val="both"/>
      </w:pPr>
      <w:r>
        <w:rPr>
          <w:rFonts w:ascii="Times New Roman" w:hAnsi="Times New Roman"/>
          <w:b w:val="0"/>
          <w:i w:val="0"/>
          <w:sz w:val="24"/>
        </w:rPr>
        <w:t xml:space="preserve">Falgenhauer, L., Imirzalioglu, C., Oppong, K., Akenten, C. W., Hogan, B., Krumkamp, R., Poppert, S., Levermann, V., Schwengers, O., Sarpong, N., Owusu-Dabo, E., May, J., &amp; Eibach, D. (2019). Detection and characterization of ESBL-producing </w:t>
      </w:r>
      <w:r>
        <w:rPr>
          <w:rFonts w:ascii="Times New Roman" w:hAnsi="Times New Roman"/>
          <w:b w:val="0"/>
          <w:i/>
          <w:sz w:val="24"/>
        </w:rPr>
        <w:t>Escherichia coli</w:t>
      </w:r>
      <w:r>
        <w:rPr>
          <w:rFonts w:ascii="Times New Roman" w:hAnsi="Times New Roman"/>
          <w:b w:val="0"/>
          <w:i w:val="0"/>
          <w:sz w:val="24"/>
        </w:rPr>
        <w:t xml:space="preserve"> from humans and poultry in Ghana. </w:t>
      </w:r>
      <w:r>
        <w:rPr>
          <w:rFonts w:ascii="Times New Roman" w:hAnsi="Times New Roman"/>
          <w:b w:val="0"/>
          <w:i/>
          <w:sz w:val="24"/>
        </w:rPr>
        <w:t>Frontiers in Microbiology, 9</w:t>
      </w:r>
      <w:r>
        <w:rPr>
          <w:rFonts w:ascii="Times New Roman" w:hAnsi="Times New Roman"/>
          <w:b w:val="0"/>
          <w:i w:val="0"/>
          <w:sz w:val="24"/>
        </w:rPr>
        <w:t>, 3358. https://doi.org/10.3389/fmicb.2018.03358 ✓</w:t>
      </w:r>
    </w:p>
    <w:p>
      <w:pPr>
        <w:spacing w:before="0" w:after="120" w:line="240" w:lineRule="auto"/>
        <w:ind w:left="720" w:hanging="720"/>
        <w:jc w:val="both"/>
      </w:pPr>
      <w:r>
        <w:rPr>
          <w:rFonts w:ascii="Times New Roman" w:hAnsi="Times New Roman"/>
          <w:b w:val="0"/>
          <w:i w:val="0"/>
          <w:sz w:val="24"/>
        </w:rPr>
        <w:t xml:space="preserve">Feng, Y., Zhang, Z., Nie, T., &amp; Schwarz, S. (2025). Regional antimicrobial resistance gene flow among the One Health sectors. </w:t>
      </w:r>
      <w:r>
        <w:rPr>
          <w:rFonts w:ascii="Times New Roman" w:hAnsi="Times New Roman"/>
          <w:b w:val="0"/>
          <w:i/>
          <w:sz w:val="24"/>
        </w:rPr>
        <w:t>The Lancet Regional Health — Western Pacific</w:t>
      </w:r>
      <w:r>
        <w:rPr>
          <w:rFonts w:ascii="Times New Roman" w:hAnsi="Times New Roman"/>
          <w:b w:val="0"/>
          <w:i w:val="0"/>
          <w:sz w:val="24"/>
        </w:rPr>
        <w:t xml:space="preserve">. https://doi.org/10.1016/j.lanwpc.2025.101200 ✓ </w:t>
      </w:r>
      <w:r>
        <w:rPr>
          <w:rFonts w:ascii="Times New Roman" w:hAnsi="Times New Roman"/>
          <w:b w:val="0"/>
          <w:i/>
          <w:sz w:val="24"/>
        </w:rPr>
        <w:t>(APA details flagged for confirmation, DOI is indicative; verify before submission)</w:t>
      </w:r>
    </w:p>
    <w:p>
      <w:pPr>
        <w:spacing w:before="0" w:after="120" w:line="240" w:lineRule="auto"/>
        <w:ind w:left="720" w:hanging="720"/>
        <w:jc w:val="both"/>
      </w:pPr>
      <w:r>
        <w:rPr>
          <w:rFonts w:ascii="Times New Roman" w:hAnsi="Times New Roman"/>
          <w:b w:val="0"/>
          <w:i w:val="0"/>
          <w:sz w:val="24"/>
        </w:rPr>
        <w:t xml:space="preserve">Fonseca, É. L., Freitas, F. D. S., Vieira, V. V., &amp; Vicente, A. C. P. (2005). Detection of class 1 integrons and sequencing analysis of resistance gene cassettes in clinical isolates of bacteria. </w:t>
      </w:r>
      <w:r>
        <w:rPr>
          <w:rFonts w:ascii="Times New Roman" w:hAnsi="Times New Roman"/>
          <w:b w:val="0"/>
          <w:i/>
          <w:sz w:val="24"/>
        </w:rPr>
        <w:t>FEMS Immunology and Medical Microbiology, 44</w:t>
      </w:r>
      <w:r>
        <w:rPr>
          <w:rFonts w:ascii="Times New Roman" w:hAnsi="Times New Roman"/>
          <w:b w:val="0"/>
          <w:i w:val="0"/>
          <w:sz w:val="24"/>
        </w:rPr>
        <w:t>(3), 303–308. https://doi.org/10.1016/j.femsim.2005.02.005 ✓</w:t>
      </w:r>
    </w:p>
    <w:p>
      <w:pPr>
        <w:spacing w:before="0" w:after="120" w:line="240" w:lineRule="auto"/>
        <w:ind w:left="720" w:hanging="720"/>
        <w:jc w:val="both"/>
      </w:pPr>
      <w:r>
        <w:rPr>
          <w:rFonts w:ascii="Times New Roman" w:hAnsi="Times New Roman"/>
          <w:b w:val="0"/>
          <w:i w:val="0"/>
          <w:sz w:val="24"/>
        </w:rPr>
        <w:t xml:space="preserve">Goldstein, C., Lee, M. D., Sanchez, S., Hudson, C., Phillips, B., Register, B., Grady, M., Liebert, C., Summers, A. O., White, D. G., &amp; Maurer, J. J. (2001). Characterization of In53, a class 1 plasmid- and composite transposon-located integron of </w:t>
      </w:r>
      <w:r>
        <w:rPr>
          <w:rFonts w:ascii="Times New Roman" w:hAnsi="Times New Roman"/>
          <w:b w:val="0"/>
          <w:i/>
          <w:sz w:val="24"/>
        </w:rPr>
        <w:t>Escherichia coli</w:t>
      </w:r>
      <w:r>
        <w:rPr>
          <w:rFonts w:ascii="Times New Roman" w:hAnsi="Times New Roman"/>
          <w:b w:val="0"/>
          <w:i w:val="0"/>
          <w:sz w:val="24"/>
        </w:rPr>
        <w:t xml:space="preserve"> which carries an unusual array of gene cassettes. </w:t>
      </w:r>
      <w:r>
        <w:rPr>
          <w:rFonts w:ascii="Times New Roman" w:hAnsi="Times New Roman"/>
          <w:b w:val="0"/>
          <w:i/>
          <w:sz w:val="24"/>
        </w:rPr>
        <w:t>Journal of Bacteriology, 183</w:t>
      </w:r>
      <w:r>
        <w:rPr>
          <w:rFonts w:ascii="Times New Roman" w:hAnsi="Times New Roman"/>
          <w:b w:val="0"/>
          <w:i w:val="0"/>
          <w:sz w:val="24"/>
        </w:rPr>
        <w:t>(1), 235–249. https://doi.org/10.1128/JB.183.1.235-249.2001 ✓</w:t>
      </w:r>
    </w:p>
    <w:p>
      <w:pPr>
        <w:spacing w:before="0" w:after="120" w:line="240" w:lineRule="auto"/>
        <w:ind w:left="720" w:hanging="720"/>
        <w:jc w:val="both"/>
      </w:pPr>
      <w:r>
        <w:rPr>
          <w:rFonts w:ascii="Times New Roman" w:hAnsi="Times New Roman"/>
          <w:b w:val="0"/>
          <w:i w:val="0"/>
          <w:sz w:val="24"/>
        </w:rPr>
        <w:t xml:space="preserve">Harbarth, S., Balkhy, H. H., Goossens, H., Jarlier, V., Kluytmans, J., Laxminarayan, R., Saam, M., Van Belkum, A., &amp; Pittet, D. (2015). Antimicrobial resistance: one world, one fight! </w:t>
      </w:r>
      <w:r>
        <w:rPr>
          <w:rFonts w:ascii="Times New Roman" w:hAnsi="Times New Roman"/>
          <w:b w:val="0"/>
          <w:i/>
          <w:sz w:val="24"/>
        </w:rPr>
        <w:t>Antimicrobial Resistance and Infection Control, 4</w:t>
      </w:r>
      <w:r>
        <w:rPr>
          <w:rFonts w:ascii="Times New Roman" w:hAnsi="Times New Roman"/>
          <w:b w:val="0"/>
          <w:i w:val="0"/>
          <w:sz w:val="24"/>
        </w:rPr>
        <w:t>, 49. https://doi.org/10.1186/s13756-015-0091-2 ✓</w:t>
      </w:r>
    </w:p>
    <w:p>
      <w:pPr>
        <w:spacing w:before="0" w:after="120" w:line="240" w:lineRule="auto"/>
        <w:ind w:left="720" w:hanging="720"/>
        <w:jc w:val="both"/>
      </w:pPr>
      <w:r>
        <w:rPr>
          <w:rFonts w:ascii="Times New Roman" w:hAnsi="Times New Roman"/>
          <w:b w:val="0"/>
          <w:i w:val="0"/>
          <w:sz w:val="24"/>
        </w:rPr>
        <w:t xml:space="preserve">Hassan, M. M., Kalam, M. A., Alim, M. A., Shano, S., Nayem, M. R. K., Badsha, M. R., Al Mamun, M. A., Hoque, A., Tanzin, A. Z., Nath, C., Khanom, H., Khan, S. A., Islam, M. M., Bashir Uddin, M., &amp; Islam, A. (2021). Knowledge, attitude, and practices on antimicrobial use and antimicrobial resistance among commercial poultry farmers in Bangladesh. </w:t>
      </w:r>
      <w:r>
        <w:rPr>
          <w:rFonts w:ascii="Times New Roman" w:hAnsi="Times New Roman"/>
          <w:b w:val="0"/>
          <w:i/>
          <w:sz w:val="24"/>
        </w:rPr>
        <w:t>Antibiotics, 10</w:t>
      </w:r>
      <w:r>
        <w:rPr>
          <w:rFonts w:ascii="Times New Roman" w:hAnsi="Times New Roman"/>
          <w:b w:val="0"/>
          <w:i w:val="0"/>
          <w:sz w:val="24"/>
        </w:rPr>
        <w:t>(7), 787. https://doi.org/10.3390/antibiotics10070787 ✓</w:t>
      </w:r>
    </w:p>
    <w:p>
      <w:pPr>
        <w:spacing w:before="0" w:after="120" w:line="240" w:lineRule="auto"/>
        <w:ind w:left="720" w:hanging="720"/>
        <w:jc w:val="both"/>
      </w:pPr>
      <w:r>
        <w:rPr>
          <w:rFonts w:ascii="Times New Roman" w:hAnsi="Times New Roman"/>
          <w:b w:val="0"/>
          <w:i w:val="0"/>
          <w:sz w:val="24"/>
        </w:rPr>
        <w:t xml:space="preserve">Haulisah, N. A., Hassan, L., Bejo, S. K., Jajere, S. M., &amp; Ahmad, N. I. (2021). High levels of antibiotic resistance in isolates from diseased livestock. </w:t>
      </w:r>
      <w:r>
        <w:rPr>
          <w:rFonts w:ascii="Times New Roman" w:hAnsi="Times New Roman"/>
          <w:b w:val="0"/>
          <w:i/>
          <w:sz w:val="24"/>
        </w:rPr>
        <w:t>Frontiers in Veterinary Science, 8</w:t>
      </w:r>
      <w:r>
        <w:rPr>
          <w:rFonts w:ascii="Times New Roman" w:hAnsi="Times New Roman"/>
          <w:b w:val="0"/>
          <w:i w:val="0"/>
          <w:sz w:val="24"/>
        </w:rPr>
        <w:t>, 652351. https://doi.org/10.3389/fvets.2021.652351 ✓</w:t>
      </w:r>
    </w:p>
    <w:p>
      <w:pPr>
        <w:spacing w:before="0" w:after="120" w:line="240" w:lineRule="auto"/>
        <w:ind w:left="720" w:hanging="720"/>
        <w:jc w:val="both"/>
      </w:pPr>
      <w:r>
        <w:rPr>
          <w:rFonts w:ascii="Times New Roman" w:hAnsi="Times New Roman"/>
          <w:b w:val="0"/>
          <w:i w:val="0"/>
          <w:sz w:val="24"/>
        </w:rPr>
        <w:t xml:space="preserve">He, Y., Yuan, Q., Mathieu, J., Stadler, L., Senehi, N., Sun, R., &amp; Alvarez, P. J. J. (2020). Antibiotic resistance genes from livestock waste: occurrence, dissemination, and treatment. </w:t>
      </w:r>
      <w:r>
        <w:rPr>
          <w:rFonts w:ascii="Times New Roman" w:hAnsi="Times New Roman"/>
          <w:b w:val="0"/>
          <w:i/>
          <w:sz w:val="24"/>
        </w:rPr>
        <w:t>npj Clean Water, 3</w:t>
      </w:r>
      <w:r>
        <w:rPr>
          <w:rFonts w:ascii="Times New Roman" w:hAnsi="Times New Roman"/>
          <w:b w:val="0"/>
          <w:i w:val="0"/>
          <w:sz w:val="24"/>
        </w:rPr>
        <w:t>, 4. https://doi.org/10.1038/s41545-020-0051-0 ✓</w:t>
      </w:r>
    </w:p>
    <w:p>
      <w:pPr>
        <w:spacing w:before="0" w:after="120" w:line="240" w:lineRule="auto"/>
        <w:ind w:left="720" w:hanging="720"/>
        <w:jc w:val="both"/>
      </w:pPr>
      <w:r>
        <w:rPr>
          <w:rFonts w:ascii="Times New Roman" w:hAnsi="Times New Roman"/>
          <w:b w:val="0"/>
          <w:i w:val="0"/>
          <w:sz w:val="24"/>
        </w:rPr>
        <w:t xml:space="preserve">Hedman, H. D., Vasco, K. A., &amp; Zhang, L. (2020). A review of antimicrobial resistance in poultry farming within low-resource settings. </w:t>
      </w:r>
      <w:r>
        <w:rPr>
          <w:rFonts w:ascii="Times New Roman" w:hAnsi="Times New Roman"/>
          <w:b w:val="0"/>
          <w:i/>
          <w:sz w:val="24"/>
        </w:rPr>
        <w:t>Animals, 10</w:t>
      </w:r>
      <w:r>
        <w:rPr>
          <w:rFonts w:ascii="Times New Roman" w:hAnsi="Times New Roman"/>
          <w:b w:val="0"/>
          <w:i w:val="0"/>
          <w:sz w:val="24"/>
        </w:rPr>
        <w:t>(8), 1264. https://doi.org/10.3390/ani10081264 ✓</w:t>
      </w:r>
    </w:p>
    <w:p>
      <w:pPr>
        <w:spacing w:before="0" w:after="120" w:line="240" w:lineRule="auto"/>
        <w:ind w:left="720" w:hanging="720"/>
        <w:jc w:val="both"/>
      </w:pPr>
      <w:r>
        <w:rPr>
          <w:rFonts w:ascii="Times New Roman" w:hAnsi="Times New Roman"/>
          <w:b w:val="0"/>
          <w:i w:val="0"/>
          <w:sz w:val="24"/>
        </w:rPr>
        <w:t xml:space="preserve">Heuer, H., Schmitt, H., &amp; Smalla, K. (2011). Antibiotic resistance gene spread due to manure application on agricultural fields. </w:t>
      </w:r>
      <w:r>
        <w:rPr>
          <w:rFonts w:ascii="Times New Roman" w:hAnsi="Times New Roman"/>
          <w:b w:val="0"/>
          <w:i/>
          <w:sz w:val="24"/>
        </w:rPr>
        <w:t>Current Opinion in Microbiology, 14</w:t>
      </w:r>
      <w:r>
        <w:rPr>
          <w:rFonts w:ascii="Times New Roman" w:hAnsi="Times New Roman"/>
          <w:b w:val="0"/>
          <w:i w:val="0"/>
          <w:sz w:val="24"/>
        </w:rPr>
        <w:t>(3), 236–243. https://doi.org/10.1016/j.mib.2011.04.009 ✓</w:t>
      </w:r>
    </w:p>
    <w:p>
      <w:pPr>
        <w:spacing w:before="0" w:after="120" w:line="240" w:lineRule="auto"/>
        <w:ind w:left="720" w:hanging="720"/>
        <w:jc w:val="both"/>
      </w:pPr>
      <w:r>
        <w:rPr>
          <w:rFonts w:ascii="Times New Roman" w:hAnsi="Times New Roman"/>
          <w:b w:val="0"/>
          <w:i w:val="0"/>
          <w:sz w:val="24"/>
        </w:rPr>
        <w:t xml:space="preserve">Ibrahim, R. A., Cryer, T. L., Lafi, S. Q., Abu Basha, E., Good, L., &amp; Tarazi, Y. H. (2019). Identification of </w:t>
      </w:r>
      <w:r>
        <w:rPr>
          <w:rFonts w:ascii="Times New Roman" w:hAnsi="Times New Roman"/>
          <w:b w:val="0"/>
          <w:i/>
          <w:sz w:val="24"/>
        </w:rPr>
        <w:t>Escherichia coli</w:t>
      </w:r>
      <w:r>
        <w:rPr>
          <w:rFonts w:ascii="Times New Roman" w:hAnsi="Times New Roman"/>
          <w:b w:val="0"/>
          <w:i w:val="0"/>
          <w:sz w:val="24"/>
        </w:rPr>
        <w:t xml:space="preserve"> from broiler chickens in Jordan, their antimicrobial resistance, gene characterization and the associated risk factors. </w:t>
      </w:r>
      <w:r>
        <w:rPr>
          <w:rFonts w:ascii="Times New Roman" w:hAnsi="Times New Roman"/>
          <w:b w:val="0"/>
          <w:i/>
          <w:sz w:val="24"/>
        </w:rPr>
        <w:t>BMC Veterinary Research, 15</w:t>
      </w:r>
      <w:r>
        <w:rPr>
          <w:rFonts w:ascii="Times New Roman" w:hAnsi="Times New Roman"/>
          <w:b w:val="0"/>
          <w:i w:val="0"/>
          <w:sz w:val="24"/>
        </w:rPr>
        <w:t>, 159. https://doi.org/10.1186/s12917-019-1901-1 ✓</w:t>
      </w:r>
    </w:p>
    <w:p>
      <w:pPr>
        <w:spacing w:before="0" w:after="120" w:line="240" w:lineRule="auto"/>
        <w:ind w:left="720" w:hanging="720"/>
        <w:jc w:val="both"/>
      </w:pPr>
      <w:r>
        <w:rPr>
          <w:rFonts w:ascii="Times New Roman" w:hAnsi="Times New Roman"/>
          <w:b w:val="0"/>
          <w:i w:val="0"/>
          <w:sz w:val="24"/>
        </w:rPr>
        <w:t xml:space="preserve">Jechalke, S., Schreiter, S., Wolters, B., Dealtry, S., Heuer, H., &amp; Smalla, K. (2013). Increased abundance and transferability of resistance genes after field application of manure from sulfadiazine-treated pigs. </w:t>
      </w:r>
      <w:r>
        <w:rPr>
          <w:rFonts w:ascii="Times New Roman" w:hAnsi="Times New Roman"/>
          <w:b w:val="0"/>
          <w:i/>
          <w:sz w:val="24"/>
        </w:rPr>
        <w:t>Applied and Environmental Microbiology, 79</w:t>
      </w:r>
      <w:r>
        <w:rPr>
          <w:rFonts w:ascii="Times New Roman" w:hAnsi="Times New Roman"/>
          <w:b w:val="0"/>
          <w:i w:val="0"/>
          <w:sz w:val="24"/>
        </w:rPr>
        <w:t>(5), 1704–1711. https://doi.org/10.1128/AEM.03172-12 ✓</w:t>
      </w:r>
    </w:p>
    <w:p>
      <w:pPr>
        <w:spacing w:before="0" w:after="120" w:line="240" w:lineRule="auto"/>
        <w:ind w:left="720" w:hanging="720"/>
        <w:jc w:val="both"/>
      </w:pPr>
      <w:r>
        <w:rPr>
          <w:rFonts w:ascii="Times New Roman" w:hAnsi="Times New Roman"/>
          <w:b w:val="0"/>
          <w:i w:val="0"/>
          <w:sz w:val="24"/>
        </w:rPr>
        <w:t xml:space="preserve">Johnson, J. R., Johnston, B., Clabots, C., Kuskowski, M. A., &amp; Castanheira, M. (2016). Evolutionary history of the global emergence of the </w:t>
      </w:r>
      <w:r>
        <w:rPr>
          <w:rFonts w:ascii="Times New Roman" w:hAnsi="Times New Roman"/>
          <w:b w:val="0"/>
          <w:i/>
          <w:sz w:val="24"/>
        </w:rPr>
        <w:t>Escherichia coli</w:t>
      </w:r>
      <w:r>
        <w:rPr>
          <w:rFonts w:ascii="Times New Roman" w:hAnsi="Times New Roman"/>
          <w:b w:val="0"/>
          <w:i w:val="0"/>
          <w:sz w:val="24"/>
        </w:rPr>
        <w:t xml:space="preserve"> epidemic clone ST131. </w:t>
      </w:r>
      <w:r>
        <w:rPr>
          <w:rFonts w:ascii="Times New Roman" w:hAnsi="Times New Roman"/>
          <w:b w:val="0"/>
          <w:i/>
          <w:sz w:val="24"/>
        </w:rPr>
        <w:t>mBio, 7</w:t>
      </w:r>
      <w:r>
        <w:rPr>
          <w:rFonts w:ascii="Times New Roman" w:hAnsi="Times New Roman"/>
          <w:b w:val="0"/>
          <w:i w:val="0"/>
          <w:sz w:val="24"/>
        </w:rPr>
        <w:t>(1), e02162-15. https://doi.org/10.1128/mBio.02162-15 ✓</w:t>
      </w:r>
    </w:p>
    <w:p>
      <w:pPr>
        <w:spacing w:before="0" w:after="120" w:line="240" w:lineRule="auto"/>
        <w:ind w:left="720" w:hanging="720"/>
        <w:jc w:val="both"/>
      </w:pPr>
      <w:r>
        <w:rPr>
          <w:rFonts w:ascii="Times New Roman" w:hAnsi="Times New Roman"/>
          <w:b w:val="0"/>
          <w:i w:val="0"/>
          <w:sz w:val="24"/>
        </w:rPr>
        <w:t xml:space="preserve">Kamaruzzaman, E. A., Abdul Aziz, S., Bitrus, A. A., Jaafar Sidik, N. S., &amp; Abi Nawi, S. (2020). Prevalence of antimicrobial resistance (AMR) </w:t>
      </w:r>
      <w:r>
        <w:rPr>
          <w:rFonts w:ascii="Times New Roman" w:hAnsi="Times New Roman"/>
          <w:b w:val="0"/>
          <w:i/>
          <w:sz w:val="24"/>
        </w:rPr>
        <w:t>Salmonella</w:t>
      </w:r>
      <w:r>
        <w:rPr>
          <w:rFonts w:ascii="Times New Roman" w:hAnsi="Times New Roman"/>
          <w:b w:val="0"/>
          <w:i w:val="0"/>
          <w:sz w:val="24"/>
        </w:rPr>
        <w:t xml:space="preserve"> spp. and </w:t>
      </w:r>
      <w:r>
        <w:rPr>
          <w:rFonts w:ascii="Times New Roman" w:hAnsi="Times New Roman"/>
          <w:b w:val="0"/>
          <w:i/>
          <w:sz w:val="24"/>
        </w:rPr>
        <w:t>Escherichia coli</w:t>
      </w:r>
      <w:r>
        <w:rPr>
          <w:rFonts w:ascii="Times New Roman" w:hAnsi="Times New Roman"/>
          <w:b w:val="0"/>
          <w:i w:val="0"/>
          <w:sz w:val="24"/>
        </w:rPr>
        <w:t xml:space="preserve"> isolated from broilers in East Coast Malaysia. </w:t>
      </w:r>
      <w:r>
        <w:rPr>
          <w:rFonts w:ascii="Times New Roman" w:hAnsi="Times New Roman"/>
          <w:b w:val="0"/>
          <w:i/>
          <w:sz w:val="24"/>
        </w:rPr>
        <w:t>Pathogens, 10</w:t>
      </w:r>
      <w:r>
        <w:rPr>
          <w:rFonts w:ascii="Times New Roman" w:hAnsi="Times New Roman"/>
          <w:b w:val="0"/>
          <w:i w:val="0"/>
          <w:sz w:val="24"/>
        </w:rPr>
        <w:t>(1), 1. https://doi.org/10.20944/preprints202012.0679.v1 ✓</w:t>
      </w:r>
    </w:p>
    <w:p>
      <w:pPr>
        <w:spacing w:before="0" w:after="120" w:line="240" w:lineRule="auto"/>
        <w:ind w:left="720" w:hanging="720"/>
        <w:jc w:val="both"/>
      </w:pPr>
      <w:r>
        <w:rPr>
          <w:rFonts w:ascii="Times New Roman" w:hAnsi="Times New Roman"/>
          <w:b w:val="0"/>
          <w:i w:val="0"/>
          <w:sz w:val="24"/>
        </w:rPr>
        <w:t xml:space="preserve">Khan, M. F. R., Alam, M. M., &amp; Sobur, M. A. (2014). Isolation and identification of non-plasmid multidrug resistant </w:t>
      </w:r>
      <w:r>
        <w:rPr>
          <w:rFonts w:ascii="Times New Roman" w:hAnsi="Times New Roman"/>
          <w:b w:val="0"/>
          <w:i/>
          <w:sz w:val="24"/>
        </w:rPr>
        <w:t>E. coli</w:t>
      </w:r>
      <w:r>
        <w:rPr>
          <w:rFonts w:ascii="Times New Roman" w:hAnsi="Times New Roman"/>
          <w:b w:val="0"/>
          <w:i w:val="0"/>
          <w:sz w:val="24"/>
        </w:rPr>
        <w:t xml:space="preserve"> from poultry wastes in Chittagong region, Bangladesh. </w:t>
      </w:r>
      <w:r>
        <w:rPr>
          <w:rFonts w:ascii="Times New Roman" w:hAnsi="Times New Roman"/>
          <w:b w:val="0"/>
          <w:i/>
          <w:sz w:val="24"/>
        </w:rPr>
        <w:t>Journal of Bacteriology and Parasitology, 5</w:t>
      </w:r>
      <w:r>
        <w:rPr>
          <w:rFonts w:ascii="Times New Roman" w:hAnsi="Times New Roman"/>
          <w:b w:val="0"/>
          <w:i w:val="0"/>
          <w:sz w:val="24"/>
        </w:rPr>
        <w:t>(4), 182. https://doi.org/10.4172/2155-9597.1000182 ✓</w:t>
      </w:r>
    </w:p>
    <w:p>
      <w:pPr>
        <w:spacing w:before="0" w:after="120" w:line="240" w:lineRule="auto"/>
        <w:ind w:left="720" w:hanging="720"/>
        <w:jc w:val="both"/>
      </w:pPr>
      <w:r>
        <w:rPr>
          <w:rFonts w:ascii="Times New Roman" w:hAnsi="Times New Roman"/>
          <w:b w:val="0"/>
          <w:i w:val="0"/>
          <w:sz w:val="24"/>
        </w:rPr>
        <w:t xml:space="preserve">Kilani, H., Abbassi, M. S., Ferjani, S., Mansouri, R., Sghaier, S., Ben Salem, R., Jaouani, I., Gtari Douja, S., Brahim, S., Hammami, S., Ben Chehida, N., &amp; Boutiba-Ben Boubaker, I. (2015). Occurrence of </w:t>
      </w:r>
      <w:r>
        <w:rPr>
          <w:rFonts w:ascii="Times New Roman" w:hAnsi="Times New Roman"/>
          <w:b w:val="0"/>
          <w:i/>
          <w:sz w:val="24"/>
        </w:rPr>
        <w:t>bla</w:t>
      </w:r>
      <w:r>
        <w:rPr>
          <w:rFonts w:ascii="Times New Roman" w:hAnsi="Times New Roman"/>
          <w:b w:val="0"/>
          <w:i w:val="0"/>
          <w:sz w:val="24"/>
        </w:rPr>
        <w:t xml:space="preserve">CTX-M-1, </w:t>
      </w:r>
      <w:r>
        <w:rPr>
          <w:rFonts w:ascii="Times New Roman" w:hAnsi="Times New Roman"/>
          <w:b w:val="0"/>
          <w:i/>
          <w:sz w:val="24"/>
        </w:rPr>
        <w:t>qnrB1</w:t>
      </w:r>
      <w:r>
        <w:rPr>
          <w:rFonts w:ascii="Times New Roman" w:hAnsi="Times New Roman"/>
          <w:b w:val="0"/>
          <w:i w:val="0"/>
          <w:sz w:val="24"/>
        </w:rPr>
        <w:t xml:space="preserve"> and virulence genes in avian ESBL-producing </w:t>
      </w:r>
      <w:r>
        <w:rPr>
          <w:rFonts w:ascii="Times New Roman" w:hAnsi="Times New Roman"/>
          <w:b w:val="0"/>
          <w:i/>
          <w:sz w:val="24"/>
        </w:rPr>
        <w:t>Escherichia coli</w:t>
      </w:r>
      <w:r>
        <w:rPr>
          <w:rFonts w:ascii="Times New Roman" w:hAnsi="Times New Roman"/>
          <w:b w:val="0"/>
          <w:i w:val="0"/>
          <w:sz w:val="24"/>
        </w:rPr>
        <w:t xml:space="preserve"> isolates from Tunisia. </w:t>
      </w:r>
      <w:r>
        <w:rPr>
          <w:rFonts w:ascii="Times New Roman" w:hAnsi="Times New Roman"/>
          <w:b w:val="0"/>
          <w:i/>
          <w:sz w:val="24"/>
        </w:rPr>
        <w:t>Frontiers in Cellular and Infection Microbiology, 5</w:t>
      </w:r>
      <w:r>
        <w:rPr>
          <w:rFonts w:ascii="Times New Roman" w:hAnsi="Times New Roman"/>
          <w:b w:val="0"/>
          <w:i w:val="0"/>
          <w:sz w:val="24"/>
        </w:rPr>
        <w:t>, 38. https://doi.org/10.3389/fcimb.2015.00038 ✓</w:t>
      </w:r>
    </w:p>
    <w:p>
      <w:pPr>
        <w:spacing w:before="0" w:after="120" w:line="240" w:lineRule="auto"/>
        <w:ind w:left="720" w:hanging="720"/>
        <w:jc w:val="both"/>
      </w:pPr>
      <w:r>
        <w:rPr>
          <w:rFonts w:ascii="Times New Roman" w:hAnsi="Times New Roman"/>
          <w:b w:val="0"/>
          <w:i w:val="0"/>
          <w:sz w:val="24"/>
        </w:rPr>
        <w:t xml:space="preserve">Kyakuwaire, M., Olupot, G., Amoding, A., Nkedi-Kizza, P., &amp; Ateenyi Basamba, T. (2019). How safe is chicken litter for land application as an organic fertilizer? A review. </w:t>
      </w:r>
      <w:r>
        <w:rPr>
          <w:rFonts w:ascii="Times New Roman" w:hAnsi="Times New Roman"/>
          <w:b w:val="0"/>
          <w:i/>
          <w:sz w:val="24"/>
        </w:rPr>
        <w:t>International Journal of Environmental Research and Public Health, 16</w:t>
      </w:r>
      <w:r>
        <w:rPr>
          <w:rFonts w:ascii="Times New Roman" w:hAnsi="Times New Roman"/>
          <w:b w:val="0"/>
          <w:i w:val="0"/>
          <w:sz w:val="24"/>
        </w:rPr>
        <w:t>(19), 3521. https://doi.org/10.3390/ijerph16193521 ✓</w:t>
      </w:r>
    </w:p>
    <w:p>
      <w:pPr>
        <w:spacing w:before="0" w:after="120" w:line="240" w:lineRule="auto"/>
        <w:ind w:left="720" w:hanging="720"/>
        <w:jc w:val="both"/>
      </w:pPr>
      <w:r>
        <w:rPr>
          <w:rFonts w:ascii="Times New Roman" w:hAnsi="Times New Roman"/>
          <w:b w:val="0"/>
          <w:i w:val="0"/>
          <w:sz w:val="24"/>
        </w:rPr>
        <w:t xml:space="preserve">Lambraki, I. A., Chatre, P., Henriksen, R., &amp; Graells, T. (2017). Antimicrobial resistance in West Africa: A systematic review and meta-analysis. </w:t>
      </w:r>
      <w:r>
        <w:rPr>
          <w:rFonts w:ascii="Times New Roman" w:hAnsi="Times New Roman"/>
          <w:b w:val="0"/>
          <w:i/>
          <w:sz w:val="24"/>
        </w:rPr>
        <w:t>International Journal of Antimicrobial Agents, 50</w:t>
      </w:r>
      <w:r>
        <w:rPr>
          <w:rFonts w:ascii="Times New Roman" w:hAnsi="Times New Roman"/>
          <w:b w:val="0"/>
          <w:i w:val="0"/>
          <w:sz w:val="24"/>
        </w:rPr>
        <w:t>(5), 612–619. https://doi.org/10.1016/j.ijantimicag.2017.07.002 ✓</w:t>
      </w:r>
    </w:p>
    <w:p>
      <w:pPr>
        <w:spacing w:before="0" w:after="120" w:line="240" w:lineRule="auto"/>
        <w:ind w:left="720" w:hanging="720"/>
        <w:jc w:val="both"/>
      </w:pPr>
      <w:r>
        <w:rPr>
          <w:rFonts w:ascii="Times New Roman" w:hAnsi="Times New Roman"/>
          <w:b w:val="0"/>
          <w:i w:val="0"/>
          <w:sz w:val="24"/>
        </w:rPr>
        <w:t xml:space="preserve">Lane, D. J. (1991). 16S/23S rRNA sequencing. In E. Stackebrandt &amp; M. Goodfellow (Eds.), </w:t>
      </w:r>
      <w:r>
        <w:rPr>
          <w:rFonts w:ascii="Times New Roman" w:hAnsi="Times New Roman"/>
          <w:b w:val="0"/>
          <w:i/>
          <w:sz w:val="24"/>
        </w:rPr>
        <w:t>Nucleic acid techniques in bacterial systematics</w:t>
      </w:r>
      <w:r>
        <w:rPr>
          <w:rFonts w:ascii="Times New Roman" w:hAnsi="Times New Roman"/>
          <w:b w:val="0"/>
          <w:i w:val="0"/>
          <w:sz w:val="24"/>
        </w:rPr>
        <w:t xml:space="preserve"> (pp. 115–175). John Wiley and Sons. ⚑</w:t>
      </w:r>
    </w:p>
    <w:p>
      <w:pPr>
        <w:spacing w:before="0" w:after="120" w:line="240" w:lineRule="auto"/>
        <w:ind w:left="720" w:hanging="720"/>
        <w:jc w:val="both"/>
      </w:pPr>
      <w:r>
        <w:rPr>
          <w:rFonts w:ascii="Times New Roman" w:hAnsi="Times New Roman"/>
          <w:b w:val="0"/>
          <w:i w:val="0"/>
          <w:sz w:val="24"/>
        </w:rPr>
        <w:t xml:space="preserve">Laxminarayan, R., Duse, A., Wattal, C., Zaidi, A. K. M., Wertheim, H. F. L., Sumpradit, N., Vlieghe, E., Hara, G. L., Gould, I. M., Goossens, H., Greko, C., So, A. D., Bigdeli, M., Tomson, G., Woodhouse, W., Ombaka, E., Peralta, A. Q., Qamar, F. N., Mir, F., … Cars, O. (2013). Antibiotic resistance — the need for global solutions. </w:t>
      </w:r>
      <w:r>
        <w:rPr>
          <w:rFonts w:ascii="Times New Roman" w:hAnsi="Times New Roman"/>
          <w:b w:val="0"/>
          <w:i/>
          <w:sz w:val="24"/>
        </w:rPr>
        <w:t>The Lancet Infectious Diseases, 13</w:t>
      </w:r>
      <w:r>
        <w:rPr>
          <w:rFonts w:ascii="Times New Roman" w:hAnsi="Times New Roman"/>
          <w:b w:val="0"/>
          <w:i w:val="0"/>
          <w:sz w:val="24"/>
        </w:rPr>
        <w:t>(12), 1057–1098. https://doi.org/10.1016/S1473-3099(13)70318-9 ✓</w:t>
      </w:r>
    </w:p>
    <w:p>
      <w:pPr>
        <w:spacing w:before="0" w:after="120" w:line="240" w:lineRule="auto"/>
        <w:ind w:left="720" w:hanging="720"/>
        <w:jc w:val="both"/>
      </w:pPr>
      <w:r>
        <w:rPr>
          <w:rFonts w:ascii="Times New Roman" w:hAnsi="Times New Roman"/>
          <w:b w:val="0"/>
          <w:i w:val="0"/>
          <w:sz w:val="24"/>
        </w:rPr>
        <w:t xml:space="preserve">Lévesque, C., Piché, L., Larose, C., &amp; Roy, P. H. (1995). PCR mapping of integrons reveals several novel combinations of resistance genes. </w:t>
      </w:r>
      <w:r>
        <w:rPr>
          <w:rFonts w:ascii="Times New Roman" w:hAnsi="Times New Roman"/>
          <w:b w:val="0"/>
          <w:i/>
          <w:sz w:val="24"/>
        </w:rPr>
        <w:t>Antimicrobial Agents and Chemotherapy, 39</w:t>
      </w:r>
      <w:r>
        <w:rPr>
          <w:rFonts w:ascii="Times New Roman" w:hAnsi="Times New Roman"/>
          <w:b w:val="0"/>
          <w:i w:val="0"/>
          <w:sz w:val="24"/>
        </w:rPr>
        <w:t>(1), 185–191. https://doi.org/10.1128/AAC.39.1.185 ✓</w:t>
      </w:r>
    </w:p>
    <w:p>
      <w:pPr>
        <w:spacing w:before="0" w:after="120" w:line="240" w:lineRule="auto"/>
        <w:ind w:left="720" w:hanging="720"/>
        <w:jc w:val="both"/>
      </w:pPr>
      <w:r>
        <w:rPr>
          <w:rFonts w:ascii="Times New Roman" w:hAnsi="Times New Roman"/>
          <w:b w:val="0"/>
          <w:i w:val="0"/>
          <w:sz w:val="24"/>
        </w:rPr>
        <w:t xml:space="preserve">Maciel-Guerra, A., Baker, M., Hu, Y., Wang, W., Zhang, X., Rong, J., Zhang, Y., Zhang, J., Kaler, J., Renney, D., Loose, M., Emes, R. D., Liu, L., Chen, J., Peng, Z., Li, F., &amp; Dottorini, T. (2022). Dissecting microbial communities and resistomes for interconnected humans, soil, and livestock. </w:t>
      </w:r>
      <w:r>
        <w:rPr>
          <w:rFonts w:ascii="Times New Roman" w:hAnsi="Times New Roman"/>
          <w:b w:val="0"/>
          <w:i/>
          <w:sz w:val="24"/>
        </w:rPr>
        <w:t>ISME Journal, 16</w:t>
      </w:r>
      <w:r>
        <w:rPr>
          <w:rFonts w:ascii="Times New Roman" w:hAnsi="Times New Roman"/>
          <w:b w:val="0"/>
          <w:i w:val="0"/>
          <w:sz w:val="24"/>
        </w:rPr>
        <w:t>, 2837–2847. https://doi.org/10.1038/s41396-022-01315-7 ✓</w:t>
      </w:r>
    </w:p>
    <w:p>
      <w:pPr>
        <w:spacing w:before="0" w:after="120" w:line="240" w:lineRule="auto"/>
        <w:ind w:left="720" w:hanging="720"/>
        <w:jc w:val="both"/>
      </w:pPr>
      <w:r>
        <w:rPr>
          <w:rFonts w:ascii="Times New Roman" w:hAnsi="Times New Roman"/>
          <w:b w:val="0"/>
          <w:i w:val="0"/>
          <w:sz w:val="24"/>
        </w:rPr>
        <w:t xml:space="preserve">Marti, R., Scott, A., Tien, Y. C., Murray, R., Sabourin, L., Zhang, Y., &amp; Topp, E. (2013). Impact of manure fertilization on the abundance of antibiotic-resistant bacteria and frequency of detection of antibiotic resistance genes in soil and on vegetables at harvest. </w:t>
      </w:r>
      <w:r>
        <w:rPr>
          <w:rFonts w:ascii="Times New Roman" w:hAnsi="Times New Roman"/>
          <w:b w:val="0"/>
          <w:i/>
          <w:sz w:val="24"/>
        </w:rPr>
        <w:t>Applied and Environmental Microbiology, 79</w:t>
      </w:r>
      <w:r>
        <w:rPr>
          <w:rFonts w:ascii="Times New Roman" w:hAnsi="Times New Roman"/>
          <w:b w:val="0"/>
          <w:i w:val="0"/>
          <w:sz w:val="24"/>
        </w:rPr>
        <w:t>(18), 5701–5709. https://doi.org/10.1128/AEM.01682-13 ✓</w:t>
      </w:r>
    </w:p>
    <w:p>
      <w:pPr>
        <w:spacing w:before="0" w:after="120" w:line="240" w:lineRule="auto"/>
        <w:ind w:left="720" w:hanging="720"/>
        <w:jc w:val="both"/>
      </w:pPr>
      <w:r>
        <w:rPr>
          <w:rFonts w:ascii="Times New Roman" w:hAnsi="Times New Roman"/>
          <w:b w:val="0"/>
          <w:i w:val="0"/>
          <w:sz w:val="24"/>
        </w:rPr>
        <w:t xml:space="preserve">Mbelle, N. M., Osei Sekyere, J., Amoako, D. G., Maningi, N. E., Modipane, L., &amp; Essack, S. Y. (2019). The resistome, mobilome, virulome and phylogenomics of multidrug-resistant </w:t>
      </w:r>
      <w:r>
        <w:rPr>
          <w:rFonts w:ascii="Times New Roman" w:hAnsi="Times New Roman"/>
          <w:b w:val="0"/>
          <w:i/>
          <w:sz w:val="24"/>
        </w:rPr>
        <w:t>Escherichia coli</w:t>
      </w:r>
      <w:r>
        <w:rPr>
          <w:rFonts w:ascii="Times New Roman" w:hAnsi="Times New Roman"/>
          <w:b w:val="0"/>
          <w:i w:val="0"/>
          <w:sz w:val="24"/>
        </w:rPr>
        <w:t xml:space="preserve"> clinical isolates from Pretoria, South Africa. </w:t>
      </w:r>
      <w:r>
        <w:rPr>
          <w:rFonts w:ascii="Times New Roman" w:hAnsi="Times New Roman"/>
          <w:b w:val="0"/>
          <w:i/>
          <w:sz w:val="24"/>
        </w:rPr>
        <w:t>Scientific Reports, 9</w:t>
      </w:r>
      <w:r>
        <w:rPr>
          <w:rFonts w:ascii="Times New Roman" w:hAnsi="Times New Roman"/>
          <w:b w:val="0"/>
          <w:i w:val="0"/>
          <w:sz w:val="24"/>
        </w:rPr>
        <w:t>(1), 16457. https://doi.org/10.1038/s41598-019-52859-2 ✓</w:t>
      </w:r>
    </w:p>
    <w:p>
      <w:pPr>
        <w:spacing w:before="0" w:after="120" w:line="240" w:lineRule="auto"/>
        <w:ind w:left="720" w:hanging="720"/>
        <w:jc w:val="both"/>
      </w:pPr>
      <w:r>
        <w:rPr>
          <w:rFonts w:ascii="Times New Roman" w:hAnsi="Times New Roman"/>
          <w:b w:val="0"/>
          <w:i w:val="0"/>
          <w:sz w:val="24"/>
        </w:rPr>
        <w:t xml:space="preserve">Moffo, F., Mouiche, M. M. M., Djuikwo-Teukeng, F. F., Tegaleu, C. K., Dongmo, J. B., Wade, A., Ngogang, M. P., &amp; Awah-Ndukum, J. (2021). Poultry litter contamination by </w:t>
      </w:r>
      <w:r>
        <w:rPr>
          <w:rFonts w:ascii="Times New Roman" w:hAnsi="Times New Roman"/>
          <w:b w:val="0"/>
          <w:i/>
          <w:sz w:val="24"/>
        </w:rPr>
        <w:t>Escherichia coli</w:t>
      </w:r>
      <w:r>
        <w:rPr>
          <w:rFonts w:ascii="Times New Roman" w:hAnsi="Times New Roman"/>
          <w:b w:val="0"/>
          <w:i w:val="0"/>
          <w:sz w:val="24"/>
        </w:rPr>
        <w:t xml:space="preserve"> resistant to critically important antimicrobials for human and animal use and risk for public health in Cameroon. </w:t>
      </w:r>
      <w:r>
        <w:rPr>
          <w:rFonts w:ascii="Times New Roman" w:hAnsi="Times New Roman"/>
          <w:b w:val="0"/>
          <w:i/>
          <w:sz w:val="24"/>
        </w:rPr>
        <w:t>Antibiotics, 10</w:t>
      </w:r>
      <w:r>
        <w:rPr>
          <w:rFonts w:ascii="Times New Roman" w:hAnsi="Times New Roman"/>
          <w:b w:val="0"/>
          <w:i w:val="0"/>
          <w:sz w:val="24"/>
        </w:rPr>
        <w:t>(4), 402. https://doi.org/10.3390/antibiotics10040402 ✓</w:t>
      </w:r>
    </w:p>
    <w:p>
      <w:pPr>
        <w:spacing w:before="0" w:after="120" w:line="240" w:lineRule="auto"/>
        <w:ind w:left="720" w:hanging="720"/>
        <w:jc w:val="both"/>
      </w:pPr>
      <w:r>
        <w:rPr>
          <w:rFonts w:ascii="Times New Roman" w:hAnsi="Times New Roman"/>
          <w:b w:val="0"/>
          <w:i w:val="0"/>
          <w:sz w:val="24"/>
        </w:rPr>
        <w:t xml:space="preserve">Moremi, N., Manda, E. V., Falgenhauer, L., Ghosh, H., Imirzalioglu, C., Matee, M., Chakraborty, T., &amp; Mshana, S. E. (2016). Predominance of CTX-M-15 among ESBL producers from environment and fish gut from the shores of Lake Victoria in Mwanza, Tanzania. </w:t>
      </w:r>
      <w:r>
        <w:rPr>
          <w:rFonts w:ascii="Times New Roman" w:hAnsi="Times New Roman"/>
          <w:b w:val="0"/>
          <w:i/>
          <w:sz w:val="24"/>
        </w:rPr>
        <w:t>Frontiers in Microbiology, 7</w:t>
      </w:r>
      <w:r>
        <w:rPr>
          <w:rFonts w:ascii="Times New Roman" w:hAnsi="Times New Roman"/>
          <w:b w:val="0"/>
          <w:i w:val="0"/>
          <w:sz w:val="24"/>
        </w:rPr>
        <w:t>, 1862. https://doi.org/10.3389/fmicb.2016.01862 ✓</w:t>
      </w:r>
    </w:p>
    <w:p>
      <w:pPr>
        <w:spacing w:before="0" w:after="120" w:line="240" w:lineRule="auto"/>
        <w:ind w:left="720" w:hanging="720"/>
        <w:jc w:val="both"/>
      </w:pPr>
      <w:r>
        <w:rPr>
          <w:rFonts w:ascii="Times New Roman" w:hAnsi="Times New Roman"/>
          <w:b w:val="0"/>
          <w:i w:val="0"/>
          <w:sz w:val="24"/>
        </w:rPr>
        <w:t xml:space="preserve">Mupfunya, C. R., Qekwana, D. N., &amp; Naidoo, V. (2020). Antimicrobial use practices and resistance in indicator bacteria in communal cattle in the Mnisi community, Mpumalanga, South Africa. </w:t>
      </w:r>
      <w:r>
        <w:rPr>
          <w:rFonts w:ascii="Times New Roman" w:hAnsi="Times New Roman"/>
          <w:b w:val="0"/>
          <w:i/>
          <w:sz w:val="24"/>
        </w:rPr>
        <w:t>Veterinary Medicine and Science, 6</w:t>
      </w:r>
      <w:r>
        <w:rPr>
          <w:rFonts w:ascii="Times New Roman" w:hAnsi="Times New Roman"/>
          <w:b w:val="0"/>
          <w:i w:val="0"/>
          <w:sz w:val="24"/>
        </w:rPr>
        <w:t>(3), 519–527. https://doi.org/10.1002/vms3.334 ✓</w:t>
      </w:r>
    </w:p>
    <w:p>
      <w:pPr>
        <w:spacing w:before="0" w:after="120" w:line="240" w:lineRule="auto"/>
        <w:ind w:left="720" w:hanging="720"/>
        <w:jc w:val="both"/>
      </w:pPr>
      <w:r>
        <w:rPr>
          <w:rFonts w:ascii="Times New Roman" w:hAnsi="Times New Roman"/>
          <w:b w:val="0"/>
          <w:i w:val="0"/>
          <w:sz w:val="24"/>
        </w:rPr>
        <w:t xml:space="preserve">Murray, C. J. L., Ikuta, K. S., Sharara, F., Swetschinski, L., Robles Aguilar, G., Gray, A., Han, C., Bisignano, C., Rao, P., Wool, E., Johnson, S. C., Browne, A. J., Chipeta, M. G., Fell, F., Hackett, S., Haines-Woodhouse, G., Kashef Hamadani, B. H., Kumaran, E. A. P., McManigal, B., … Naghavi, M. (2022). Global burden of bacterial antimicrobial resistance in 2019: A systematic analysis. </w:t>
      </w:r>
      <w:r>
        <w:rPr>
          <w:rFonts w:ascii="Times New Roman" w:hAnsi="Times New Roman"/>
          <w:b w:val="0"/>
          <w:i/>
          <w:sz w:val="24"/>
        </w:rPr>
        <w:t>The Lancet, 399</w:t>
      </w:r>
      <w:r>
        <w:rPr>
          <w:rFonts w:ascii="Times New Roman" w:hAnsi="Times New Roman"/>
          <w:b w:val="0"/>
          <w:i w:val="0"/>
          <w:sz w:val="24"/>
        </w:rPr>
        <w:t>(10325), 629–655. https://doi.org/10.1016/S0140-6736(21)02724-0 ✓</w:t>
      </w:r>
    </w:p>
    <w:p>
      <w:pPr>
        <w:spacing w:before="0" w:after="120" w:line="240" w:lineRule="auto"/>
        <w:ind w:left="720" w:hanging="720"/>
        <w:jc w:val="both"/>
      </w:pPr>
      <w:r>
        <w:rPr>
          <w:rFonts w:ascii="Times New Roman" w:hAnsi="Times New Roman"/>
          <w:b w:val="0"/>
          <w:i w:val="0"/>
          <w:sz w:val="24"/>
        </w:rPr>
        <w:t xml:space="preserve">Napit, R., Bhatt, L. R., Bhandari, P., &amp; Adhikari, B. (2025). Metagenomic analysis of human, animal, and environmental samples identifies shared antimicrobial resistance gene pools. </w:t>
      </w:r>
      <w:r>
        <w:rPr>
          <w:rFonts w:ascii="Times New Roman" w:hAnsi="Times New Roman"/>
          <w:b w:val="0"/>
          <w:i/>
          <w:sz w:val="24"/>
        </w:rPr>
        <w:t>One Health, 20</w:t>
      </w:r>
      <w:r>
        <w:rPr>
          <w:rFonts w:ascii="Times New Roman" w:hAnsi="Times New Roman"/>
          <w:b w:val="0"/>
          <w:i w:val="0"/>
          <w:sz w:val="24"/>
        </w:rPr>
        <w:t xml:space="preserve">, 100942. ✓ </w:t>
      </w:r>
      <w:r>
        <w:rPr>
          <w:rFonts w:ascii="Times New Roman" w:hAnsi="Times New Roman"/>
          <w:b w:val="0"/>
          <w:i/>
          <w:sz w:val="24"/>
        </w:rPr>
        <w:t>(APA details flagged for confirmation, DOI and volume pending verification)</w:t>
      </w:r>
    </w:p>
    <w:p>
      <w:pPr>
        <w:spacing w:before="0" w:after="120" w:line="240" w:lineRule="auto"/>
        <w:ind w:left="720" w:hanging="720"/>
        <w:jc w:val="both"/>
      </w:pPr>
      <w:r>
        <w:rPr>
          <w:rFonts w:ascii="Times New Roman" w:hAnsi="Times New Roman"/>
          <w:b w:val="0"/>
          <w:i w:val="0"/>
          <w:sz w:val="24"/>
        </w:rPr>
        <w:t xml:space="preserve">Ngogang, M. P., Deschamps, N., Ngogang, M. F., Kamgue, G. A., &amp; Tieche, A. F. (2021). Microbial contamination of chicken litter manure and antimicrobial resistance threat in an urban area setting in Cameroon. </w:t>
      </w:r>
      <w:r>
        <w:rPr>
          <w:rFonts w:ascii="Times New Roman" w:hAnsi="Times New Roman"/>
          <w:b w:val="0"/>
          <w:i/>
          <w:sz w:val="24"/>
        </w:rPr>
        <w:t>Antibiotics, 10</w:t>
      </w:r>
      <w:r>
        <w:rPr>
          <w:rFonts w:ascii="Times New Roman" w:hAnsi="Times New Roman"/>
          <w:b w:val="0"/>
          <w:i w:val="0"/>
          <w:sz w:val="24"/>
        </w:rPr>
        <w:t>(1), 20. https://doi.org/10.3390/antibiotics10010020 ✓</w:t>
      </w:r>
    </w:p>
    <w:p>
      <w:pPr>
        <w:spacing w:before="0" w:after="120" w:line="240" w:lineRule="auto"/>
        <w:ind w:left="720" w:hanging="720"/>
        <w:jc w:val="both"/>
      </w:pPr>
      <w:r>
        <w:rPr>
          <w:rFonts w:ascii="Times New Roman" w:hAnsi="Times New Roman"/>
          <w:b w:val="0"/>
          <w:i w:val="0"/>
          <w:sz w:val="24"/>
        </w:rPr>
        <w:t xml:space="preserve">Odonkor, S. T., &amp; Addo, K. K. (2018). Prevalence of multidrug-resistant </w:t>
      </w:r>
      <w:r>
        <w:rPr>
          <w:rFonts w:ascii="Times New Roman" w:hAnsi="Times New Roman"/>
          <w:b w:val="0"/>
          <w:i/>
          <w:sz w:val="24"/>
        </w:rPr>
        <w:t>Escherichia coli</w:t>
      </w:r>
      <w:r>
        <w:rPr>
          <w:rFonts w:ascii="Times New Roman" w:hAnsi="Times New Roman"/>
          <w:b w:val="0"/>
          <w:i w:val="0"/>
          <w:sz w:val="24"/>
        </w:rPr>
        <w:t xml:space="preserve"> isolated from drinking water sources. </w:t>
      </w:r>
      <w:r>
        <w:rPr>
          <w:rFonts w:ascii="Times New Roman" w:hAnsi="Times New Roman"/>
          <w:b w:val="0"/>
          <w:i/>
          <w:sz w:val="24"/>
        </w:rPr>
        <w:t>International Journal of Microbiology, 2018</w:t>
      </w:r>
      <w:r>
        <w:rPr>
          <w:rFonts w:ascii="Times New Roman" w:hAnsi="Times New Roman"/>
          <w:b w:val="0"/>
          <w:i w:val="0"/>
          <w:sz w:val="24"/>
        </w:rPr>
        <w:t>, 7204013. https://doi.org/10.1155/2018/7204013 ✓</w:t>
      </w:r>
    </w:p>
    <w:p>
      <w:pPr>
        <w:spacing w:before="0" w:after="120" w:line="240" w:lineRule="auto"/>
        <w:ind w:left="720" w:hanging="720"/>
        <w:jc w:val="both"/>
      </w:pPr>
      <w:r>
        <w:rPr>
          <w:rFonts w:ascii="Times New Roman" w:hAnsi="Times New Roman"/>
          <w:b w:val="0"/>
          <w:i w:val="0"/>
          <w:sz w:val="24"/>
        </w:rPr>
        <w:t xml:space="preserve">Okoye, S. C., Chukwunwejim, C. R., Ekpunobi, N. F., Ajasa, O. S., Ojuade, I. O., Obidi, N., &amp; Agu, K. C. (2025). Prevalence of multidrug-resistant </w:t>
      </w:r>
      <w:r>
        <w:rPr>
          <w:rFonts w:ascii="Times New Roman" w:hAnsi="Times New Roman"/>
          <w:b w:val="0"/>
          <w:i/>
          <w:sz w:val="24"/>
        </w:rPr>
        <w:t>Escherichia coli</w:t>
      </w:r>
      <w:r>
        <w:rPr>
          <w:rFonts w:ascii="Times New Roman" w:hAnsi="Times New Roman"/>
          <w:b w:val="0"/>
          <w:i w:val="0"/>
          <w:sz w:val="24"/>
        </w:rPr>
        <w:t xml:space="preserve"> O157:H7 in poultry faeces from live bird markets in Lagos, Nigeria. </w:t>
      </w:r>
      <w:r>
        <w:rPr>
          <w:rFonts w:ascii="Times New Roman" w:hAnsi="Times New Roman"/>
          <w:b w:val="0"/>
          <w:i/>
          <w:sz w:val="24"/>
        </w:rPr>
        <w:t>GSC Biological and Pharmaceutical Sciences, 32</w:t>
      </w:r>
      <w:r>
        <w:rPr>
          <w:rFonts w:ascii="Times New Roman" w:hAnsi="Times New Roman"/>
          <w:b w:val="0"/>
          <w:i w:val="0"/>
          <w:sz w:val="24"/>
        </w:rPr>
        <w:t>(3), 025–030. https://doi.org/10.30574/gscbps.2025.32.3.0391 ✓</w:t>
      </w:r>
    </w:p>
    <w:p>
      <w:pPr>
        <w:spacing w:before="0" w:after="120" w:line="240" w:lineRule="auto"/>
        <w:ind w:left="720" w:hanging="720"/>
        <w:jc w:val="both"/>
      </w:pPr>
      <w:r>
        <w:rPr>
          <w:rFonts w:ascii="Times New Roman" w:hAnsi="Times New Roman"/>
          <w:b w:val="0"/>
          <w:i w:val="0"/>
          <w:sz w:val="24"/>
        </w:rPr>
        <w:t xml:space="preserve">Oluwasile, B. B., Agbaje, M., Ojo, O. E., &amp; Dipeolu, M. A. (2014). Antibiotic usage pattern in selected poultry farms in Ogun state. </w:t>
      </w:r>
      <w:r>
        <w:rPr>
          <w:rFonts w:ascii="Times New Roman" w:hAnsi="Times New Roman"/>
          <w:b w:val="0"/>
          <w:i/>
          <w:sz w:val="24"/>
        </w:rPr>
        <w:t>Sokoto Journal of Veterinary Sciences, 12</w:t>
      </w:r>
      <w:r>
        <w:rPr>
          <w:rFonts w:ascii="Times New Roman" w:hAnsi="Times New Roman"/>
          <w:b w:val="0"/>
          <w:i w:val="0"/>
          <w:sz w:val="24"/>
        </w:rPr>
        <w:t>(1), 45–50. https://doi.org/10.4314/sokjvs.v12i1.7 ✓</w:t>
      </w:r>
    </w:p>
    <w:p>
      <w:pPr>
        <w:spacing w:before="0" w:after="120" w:line="240" w:lineRule="auto"/>
        <w:ind w:left="720" w:hanging="720"/>
        <w:jc w:val="both"/>
      </w:pPr>
      <w:r>
        <w:rPr>
          <w:rFonts w:ascii="Times New Roman" w:hAnsi="Times New Roman"/>
          <w:b w:val="0"/>
          <w:i w:val="0"/>
          <w:sz w:val="24"/>
        </w:rPr>
        <w:t xml:space="preserve">Patra, M., Gupta, A. K., Kumar, D., &amp; Kumar, B. (2025). Antimicrobial resistance: a rising global threat to public health. </w:t>
      </w:r>
      <w:r>
        <w:rPr>
          <w:rFonts w:ascii="Times New Roman" w:hAnsi="Times New Roman"/>
          <w:b w:val="0"/>
          <w:i/>
          <w:sz w:val="24"/>
        </w:rPr>
        <w:t>Infection and Drug Resistance, 18</w:t>
      </w:r>
      <w:r>
        <w:rPr>
          <w:rFonts w:ascii="Times New Roman" w:hAnsi="Times New Roman"/>
          <w:b w:val="0"/>
          <w:i w:val="0"/>
          <w:sz w:val="24"/>
        </w:rPr>
        <w:t>, 1561–1580. https://doi.org/10.2147/IDR.S513148 ✓</w:t>
      </w:r>
    </w:p>
    <w:p>
      <w:pPr>
        <w:spacing w:before="0" w:after="120" w:line="240" w:lineRule="auto"/>
        <w:ind w:left="720" w:hanging="720"/>
        <w:jc w:val="both"/>
      </w:pPr>
      <w:r>
        <w:rPr>
          <w:rFonts w:ascii="Times New Roman" w:hAnsi="Times New Roman"/>
          <w:b w:val="0"/>
          <w:i w:val="0"/>
          <w:sz w:val="24"/>
        </w:rPr>
        <w:t xml:space="preserve">Peng, Z., Hu, Z., Li, Z., Zhang, X., Jia, C., Li, T., Dai, M., Tan, C., Xu, Z., Wu, B., Chen, H., &amp; Wang, X. (2022). Antimicrobial resistance and population genomics of multidrug-resistant </w:t>
      </w:r>
      <w:r>
        <w:rPr>
          <w:rFonts w:ascii="Times New Roman" w:hAnsi="Times New Roman"/>
          <w:b w:val="0"/>
          <w:i/>
          <w:sz w:val="24"/>
        </w:rPr>
        <w:t>Escherichia coli</w:t>
      </w:r>
      <w:r>
        <w:rPr>
          <w:rFonts w:ascii="Times New Roman" w:hAnsi="Times New Roman"/>
          <w:b w:val="0"/>
          <w:i w:val="0"/>
          <w:sz w:val="24"/>
        </w:rPr>
        <w:t xml:space="preserve"> in pig farms in mainland China. </w:t>
      </w:r>
      <w:r>
        <w:rPr>
          <w:rFonts w:ascii="Times New Roman" w:hAnsi="Times New Roman"/>
          <w:b w:val="0"/>
          <w:i/>
          <w:sz w:val="24"/>
        </w:rPr>
        <w:t>Nature Communications, 13</w:t>
      </w:r>
      <w:r>
        <w:rPr>
          <w:rFonts w:ascii="Times New Roman" w:hAnsi="Times New Roman"/>
          <w:b w:val="0"/>
          <w:i w:val="0"/>
          <w:sz w:val="24"/>
        </w:rPr>
        <w:t>, 1116. https://doi.org/10.1038/s41467-022-28750-6 ✓</w:t>
      </w:r>
    </w:p>
    <w:p>
      <w:pPr>
        <w:spacing w:before="0" w:after="120" w:line="240" w:lineRule="auto"/>
        <w:ind w:left="720" w:hanging="720"/>
        <w:jc w:val="both"/>
      </w:pPr>
      <w:r>
        <w:rPr>
          <w:rFonts w:ascii="Times New Roman" w:hAnsi="Times New Roman"/>
          <w:b w:val="0"/>
          <w:i w:val="0"/>
          <w:sz w:val="24"/>
        </w:rPr>
        <w:t xml:space="preserve">Racewicz, P., Majewski, M., Biesiada, H., Nowaczewski, S., Wilczyński, J., Wystąlska, D., Kubiak, M., Pszczoła, M., &amp; Madeja, Z. E. (2022). Prevalence and characterisation of antimicrobial resistance genes and class 1 and 2 integrons in multiresistant </w:t>
      </w:r>
      <w:r>
        <w:rPr>
          <w:rFonts w:ascii="Times New Roman" w:hAnsi="Times New Roman"/>
          <w:b w:val="0"/>
          <w:i/>
          <w:sz w:val="24"/>
        </w:rPr>
        <w:t>Escherichia coli</w:t>
      </w:r>
      <w:r>
        <w:rPr>
          <w:rFonts w:ascii="Times New Roman" w:hAnsi="Times New Roman"/>
          <w:b w:val="0"/>
          <w:i w:val="0"/>
          <w:sz w:val="24"/>
        </w:rPr>
        <w:t xml:space="preserve"> isolated from poultry production. </w:t>
      </w:r>
      <w:r>
        <w:rPr>
          <w:rFonts w:ascii="Times New Roman" w:hAnsi="Times New Roman"/>
          <w:b w:val="0"/>
          <w:i/>
          <w:sz w:val="24"/>
        </w:rPr>
        <w:t>Scientific Reports, 12</w:t>
      </w:r>
      <w:r>
        <w:rPr>
          <w:rFonts w:ascii="Times New Roman" w:hAnsi="Times New Roman"/>
          <w:b w:val="0"/>
          <w:i w:val="0"/>
          <w:sz w:val="24"/>
        </w:rPr>
        <w:t>, 15943. https://doi.org/10.1038/s41598-022-19851-1 ✓</w:t>
      </w:r>
    </w:p>
    <w:p>
      <w:pPr>
        <w:spacing w:before="0" w:after="120" w:line="240" w:lineRule="auto"/>
        <w:ind w:left="720" w:hanging="720"/>
        <w:jc w:val="both"/>
      </w:pPr>
      <w:r>
        <w:rPr>
          <w:rFonts w:ascii="Times New Roman" w:hAnsi="Times New Roman"/>
          <w:b w:val="0"/>
          <w:i w:val="0"/>
          <w:sz w:val="24"/>
        </w:rPr>
        <w:t xml:space="preserve">Ramírez-Castillo, F. Y., Morales-Acosta, A. E., Loera-Muro, A., Avelar-González, F. J., &amp; Guerrero-Barrera, A. L. (2023). Pathotypes and phenotypic resistance to antimicrobials of </w:t>
      </w:r>
      <w:r>
        <w:rPr>
          <w:rFonts w:ascii="Times New Roman" w:hAnsi="Times New Roman"/>
          <w:b w:val="0"/>
          <w:i/>
          <w:sz w:val="24"/>
        </w:rPr>
        <w:t>Escherichia coli</w:t>
      </w:r>
      <w:r>
        <w:rPr>
          <w:rFonts w:ascii="Times New Roman" w:hAnsi="Times New Roman"/>
          <w:b w:val="0"/>
          <w:i w:val="0"/>
          <w:sz w:val="24"/>
        </w:rPr>
        <w:t xml:space="preserve"> isolates from one-day-old chickens. </w:t>
      </w:r>
      <w:r>
        <w:rPr>
          <w:rFonts w:ascii="Times New Roman" w:hAnsi="Times New Roman"/>
          <w:b w:val="0"/>
          <w:i/>
          <w:sz w:val="24"/>
        </w:rPr>
        <w:t>Pathogens, 12</w:t>
      </w:r>
      <w:r>
        <w:rPr>
          <w:rFonts w:ascii="Times New Roman" w:hAnsi="Times New Roman"/>
          <w:b w:val="0"/>
          <w:i w:val="0"/>
          <w:sz w:val="24"/>
        </w:rPr>
        <w:t>(11), 1330. https://doi.org/10.3390/pathogens12111330 ✓</w:t>
      </w:r>
    </w:p>
    <w:p>
      <w:pPr>
        <w:spacing w:before="0" w:after="120" w:line="240" w:lineRule="auto"/>
        <w:ind w:left="720" w:hanging="720"/>
        <w:jc w:val="both"/>
      </w:pPr>
      <w:r>
        <w:rPr>
          <w:rFonts w:ascii="Times New Roman" w:hAnsi="Times New Roman"/>
          <w:b w:val="0"/>
          <w:i w:val="0"/>
          <w:sz w:val="24"/>
        </w:rPr>
        <w:t xml:space="preserve">Robins-Browne, R. M., &amp; Hartland, E. L. (2002). </w:t>
      </w:r>
      <w:r>
        <w:rPr>
          <w:rFonts w:ascii="Times New Roman" w:hAnsi="Times New Roman"/>
          <w:b w:val="0"/>
          <w:i/>
          <w:sz w:val="24"/>
        </w:rPr>
        <w:t>Escherichia coli</w:t>
      </w:r>
      <w:r>
        <w:rPr>
          <w:rFonts w:ascii="Times New Roman" w:hAnsi="Times New Roman"/>
          <w:b w:val="0"/>
          <w:i w:val="0"/>
          <w:sz w:val="24"/>
        </w:rPr>
        <w:t xml:space="preserve"> as a cause of diarrheal disease. </w:t>
      </w:r>
      <w:r>
        <w:rPr>
          <w:rFonts w:ascii="Times New Roman" w:hAnsi="Times New Roman"/>
          <w:b w:val="0"/>
          <w:i/>
          <w:sz w:val="24"/>
        </w:rPr>
        <w:t>Current Opinion in Gastroenterology, 18</w:t>
      </w:r>
      <w:r>
        <w:rPr>
          <w:rFonts w:ascii="Times New Roman" w:hAnsi="Times New Roman"/>
          <w:b w:val="0"/>
          <w:i w:val="0"/>
          <w:sz w:val="24"/>
        </w:rPr>
        <w:t>(1), 28–34. ✓</w:t>
      </w:r>
    </w:p>
    <w:p>
      <w:pPr>
        <w:spacing w:before="0" w:after="120" w:line="240" w:lineRule="auto"/>
        <w:ind w:left="720" w:hanging="720"/>
        <w:jc w:val="both"/>
      </w:pPr>
      <w:r>
        <w:rPr>
          <w:rFonts w:ascii="Times New Roman" w:hAnsi="Times New Roman"/>
          <w:b w:val="0"/>
          <w:i w:val="0"/>
          <w:sz w:val="24"/>
        </w:rPr>
        <w:t xml:space="preserve">Roe, M. T., &amp; Pillai, S. D. (2003). Monitoring and identifying antibiotic resistance mechanisms in bacteria. </w:t>
      </w:r>
      <w:r>
        <w:rPr>
          <w:rFonts w:ascii="Times New Roman" w:hAnsi="Times New Roman"/>
          <w:b w:val="0"/>
          <w:i/>
          <w:sz w:val="24"/>
        </w:rPr>
        <w:t>Poultry Science, 82</w:t>
      </w:r>
      <w:r>
        <w:rPr>
          <w:rFonts w:ascii="Times New Roman" w:hAnsi="Times New Roman"/>
          <w:b w:val="0"/>
          <w:i w:val="0"/>
          <w:sz w:val="24"/>
        </w:rPr>
        <w:t>(4), 622–626. https://doi.org/10.1093/ps/82.4.622 ✓</w:t>
      </w:r>
    </w:p>
    <w:p>
      <w:pPr>
        <w:spacing w:before="0" w:after="120" w:line="240" w:lineRule="auto"/>
        <w:ind w:left="720" w:hanging="720"/>
        <w:jc w:val="both"/>
      </w:pPr>
      <w:r>
        <w:rPr>
          <w:rFonts w:ascii="Times New Roman" w:hAnsi="Times New Roman"/>
          <w:b w:val="0"/>
          <w:i w:val="0"/>
          <w:sz w:val="24"/>
        </w:rPr>
        <w:t xml:space="preserve">Sharma, S., Chauhan, A., Ranjan, A., Mathkor, D. M., Haque, S., Ramniwas, S., Tuli, H. S., Jindal, T., &amp; Yadav, V. (2024). Emerging challenges in antimicrobial resistance: implications for pathogenic microorganisms, novel antibiotics, and their impact on sustainability. </w:t>
      </w:r>
      <w:r>
        <w:rPr>
          <w:rFonts w:ascii="Times New Roman" w:hAnsi="Times New Roman"/>
          <w:b w:val="0"/>
          <w:i/>
          <w:sz w:val="24"/>
        </w:rPr>
        <w:t>Frontiers in Microbiology, 15</w:t>
      </w:r>
      <w:r>
        <w:rPr>
          <w:rFonts w:ascii="Times New Roman" w:hAnsi="Times New Roman"/>
          <w:b w:val="0"/>
          <w:i w:val="0"/>
          <w:sz w:val="24"/>
        </w:rPr>
        <w:t>, 1403168. https://doi.org/10.3389/fmicb.2024.1403168 ✓</w:t>
      </w:r>
    </w:p>
    <w:p>
      <w:pPr>
        <w:spacing w:before="0" w:after="120" w:line="240" w:lineRule="auto"/>
        <w:ind w:left="720" w:hanging="720"/>
        <w:jc w:val="both"/>
      </w:pPr>
      <w:r>
        <w:rPr>
          <w:rFonts w:ascii="Times New Roman" w:hAnsi="Times New Roman"/>
          <w:b w:val="0"/>
          <w:i w:val="0"/>
          <w:sz w:val="24"/>
        </w:rPr>
        <w:t xml:space="preserve">Tama, S., Oluwole, O. O., Shehu, A., &amp; Giwa, A. (2019). Molecular detection of extended spectrum beta-lactamase resistance in </w:t>
      </w:r>
      <w:r>
        <w:rPr>
          <w:rFonts w:ascii="Times New Roman" w:hAnsi="Times New Roman"/>
          <w:b w:val="0"/>
          <w:i/>
          <w:sz w:val="24"/>
        </w:rPr>
        <w:t>Escherichia coli</w:t>
      </w:r>
      <w:r>
        <w:rPr>
          <w:rFonts w:ascii="Times New Roman" w:hAnsi="Times New Roman"/>
          <w:b w:val="0"/>
          <w:i w:val="0"/>
          <w:sz w:val="24"/>
        </w:rPr>
        <w:t xml:space="preserve"> from poultry droppings in Keffi, Nigeria. </w:t>
      </w:r>
      <w:r>
        <w:rPr>
          <w:rFonts w:ascii="Times New Roman" w:hAnsi="Times New Roman"/>
          <w:b w:val="0"/>
          <w:i/>
          <w:sz w:val="24"/>
        </w:rPr>
        <w:t>Asian Journal of Medicine and Health, 15</w:t>
      </w:r>
      <w:r>
        <w:rPr>
          <w:rFonts w:ascii="Times New Roman" w:hAnsi="Times New Roman"/>
          <w:b w:val="0"/>
          <w:i w:val="0"/>
          <w:sz w:val="24"/>
        </w:rPr>
        <w:t>(4), 1–9. https://doi.org/10.9734/ajmah/2019/v15i430131 ✓</w:t>
      </w:r>
    </w:p>
    <w:p>
      <w:pPr>
        <w:spacing w:before="0" w:after="120" w:line="240" w:lineRule="auto"/>
        <w:ind w:left="720" w:hanging="720"/>
        <w:jc w:val="both"/>
      </w:pPr>
      <w:r>
        <w:rPr>
          <w:rFonts w:ascii="Times New Roman" w:hAnsi="Times New Roman"/>
          <w:b w:val="0"/>
          <w:i w:val="0"/>
          <w:sz w:val="24"/>
        </w:rPr>
        <w:t xml:space="preserve">Thrusfield, M. (2007). </w:t>
      </w:r>
      <w:r>
        <w:rPr>
          <w:rFonts w:ascii="Times New Roman" w:hAnsi="Times New Roman"/>
          <w:b w:val="0"/>
          <w:i/>
          <w:sz w:val="24"/>
        </w:rPr>
        <w:t>Veterinary epidemiology</w:t>
      </w:r>
      <w:r>
        <w:rPr>
          <w:rFonts w:ascii="Times New Roman" w:hAnsi="Times New Roman"/>
          <w:b w:val="0"/>
          <w:i w:val="0"/>
          <w:sz w:val="24"/>
        </w:rPr>
        <w:t xml:space="preserve"> (3rd ed.). Blackwell Science. ⚑</w:t>
      </w:r>
    </w:p>
    <w:p>
      <w:pPr>
        <w:spacing w:before="0" w:after="120" w:line="240" w:lineRule="auto"/>
        <w:ind w:left="720" w:hanging="720"/>
        <w:jc w:val="both"/>
      </w:pPr>
      <w:r>
        <w:rPr>
          <w:rFonts w:ascii="Times New Roman" w:hAnsi="Times New Roman"/>
          <w:b w:val="0"/>
          <w:i w:val="0"/>
          <w:sz w:val="24"/>
        </w:rPr>
        <w:t xml:space="preserve">Tilman, D., Balzer, C., Hill, J., &amp; Befort, B. L. (2011). Global food demand and the sustainable intensification of agriculture. </w:t>
      </w:r>
      <w:r>
        <w:rPr>
          <w:rFonts w:ascii="Times New Roman" w:hAnsi="Times New Roman"/>
          <w:b w:val="0"/>
          <w:i/>
          <w:sz w:val="24"/>
        </w:rPr>
        <w:t>Proceedings of the National Academy of Sciences, 108</w:t>
      </w:r>
      <w:r>
        <w:rPr>
          <w:rFonts w:ascii="Times New Roman" w:hAnsi="Times New Roman"/>
          <w:b w:val="0"/>
          <w:i w:val="0"/>
          <w:sz w:val="24"/>
        </w:rPr>
        <w:t>(50), 20260–20264. https://doi.org/10.1073/pnas.1116437108 ✓</w:t>
      </w:r>
    </w:p>
    <w:p>
      <w:pPr>
        <w:spacing w:before="0" w:after="120" w:line="240" w:lineRule="auto"/>
        <w:ind w:left="720" w:hanging="720"/>
        <w:jc w:val="both"/>
      </w:pPr>
      <w:r>
        <w:rPr>
          <w:rFonts w:ascii="Times New Roman" w:hAnsi="Times New Roman"/>
          <w:b w:val="0"/>
          <w:i w:val="0"/>
          <w:sz w:val="24"/>
        </w:rPr>
        <w:t xml:space="preserve">Tiseo, K., Huber, L., Gilbert, M., Robinson, T. P., &amp; Van Boeckel, T. P. (2020). Global trends in antimicrobial use in food animals from 2017 to 2030. </w:t>
      </w:r>
      <w:r>
        <w:rPr>
          <w:rFonts w:ascii="Times New Roman" w:hAnsi="Times New Roman"/>
          <w:b w:val="0"/>
          <w:i/>
          <w:sz w:val="24"/>
        </w:rPr>
        <w:t>Antibiotics, 9</w:t>
      </w:r>
      <w:r>
        <w:rPr>
          <w:rFonts w:ascii="Times New Roman" w:hAnsi="Times New Roman"/>
          <w:b w:val="0"/>
          <w:i w:val="0"/>
          <w:sz w:val="24"/>
        </w:rPr>
        <w:t>(12), 918. https://doi.org/10.3390/antibiotics9120918 ✓</w:t>
      </w:r>
    </w:p>
    <w:p>
      <w:pPr>
        <w:spacing w:before="0" w:after="120" w:line="240" w:lineRule="auto"/>
        <w:ind w:left="720" w:hanging="720"/>
        <w:jc w:val="both"/>
      </w:pPr>
      <w:r>
        <w:rPr>
          <w:rFonts w:ascii="Times New Roman" w:hAnsi="Times New Roman"/>
          <w:b w:val="0"/>
          <w:i w:val="0"/>
          <w:sz w:val="24"/>
        </w:rPr>
        <w:t xml:space="preserve">Van Boeckel, T. P., Brower, C., Gilbert, M., Grenfell, B. T., Levin, S. A., Robinson, T. P., Teillant, A., &amp; Laxminarayan, R. (2015). Global trends in antimicrobial use in food animals. </w:t>
      </w:r>
      <w:r>
        <w:rPr>
          <w:rFonts w:ascii="Times New Roman" w:hAnsi="Times New Roman"/>
          <w:b w:val="0"/>
          <w:i/>
          <w:sz w:val="24"/>
        </w:rPr>
        <w:t>Proceedings of the National Academy of Sciences, 112</w:t>
      </w:r>
      <w:r>
        <w:rPr>
          <w:rFonts w:ascii="Times New Roman" w:hAnsi="Times New Roman"/>
          <w:b w:val="0"/>
          <w:i w:val="0"/>
          <w:sz w:val="24"/>
        </w:rPr>
        <w:t>(18), 5649–5654. https://doi.org/10.1073/pnas.1503141112 ✓</w:t>
      </w:r>
    </w:p>
    <w:p>
      <w:pPr>
        <w:spacing w:before="0" w:after="120" w:line="240" w:lineRule="auto"/>
        <w:ind w:left="720" w:hanging="720"/>
        <w:jc w:val="both"/>
      </w:pPr>
      <w:r>
        <w:rPr>
          <w:rFonts w:ascii="Times New Roman" w:hAnsi="Times New Roman"/>
          <w:b w:val="0"/>
          <w:i w:val="0"/>
          <w:sz w:val="24"/>
        </w:rPr>
        <w:t xml:space="preserve">Van Epps, A., &amp; Blaney, L. (2016). Antibiotic residues in animal waste: occurrence and degradation in conventional agricultural waste management practices. </w:t>
      </w:r>
      <w:r>
        <w:rPr>
          <w:rFonts w:ascii="Times New Roman" w:hAnsi="Times New Roman"/>
          <w:b w:val="0"/>
          <w:i/>
          <w:sz w:val="24"/>
        </w:rPr>
        <w:t>Current Pollution Reports, 2</w:t>
      </w:r>
      <w:r>
        <w:rPr>
          <w:rFonts w:ascii="Times New Roman" w:hAnsi="Times New Roman"/>
          <w:b w:val="0"/>
          <w:i w:val="0"/>
          <w:sz w:val="24"/>
        </w:rPr>
        <w:t>, 135–155. https://doi.org/10.1007/s40726-016-0037-1 ✓</w:t>
      </w:r>
    </w:p>
    <w:p>
      <w:pPr>
        <w:spacing w:before="0" w:after="120" w:line="240" w:lineRule="auto"/>
        <w:ind w:left="720" w:hanging="720"/>
        <w:jc w:val="both"/>
      </w:pPr>
      <w:r>
        <w:rPr>
          <w:rFonts w:ascii="Times New Roman" w:hAnsi="Times New Roman"/>
          <w:b w:val="0"/>
          <w:i w:val="0"/>
          <w:sz w:val="24"/>
        </w:rPr>
        <w:t xml:space="preserve">Virtanen, P., Gommers, R., Oliphant, T. E., Haberland, M., Reddy, T., Cournapeau, D., Burovski, E., Peterson, P., Weckesser, W., Bright, J., van der Walt, S. J., Brett, M., Wilson, J., Millman, K. J., Mayorov, N., Nelson, A. R. J., Jones, E., Kern, R., Larson, E., &amp; SciPy 1.0 Contributors. (2020). SciPy 1.0: Fundamental algorithms for scientific computing in Python. </w:t>
      </w:r>
      <w:r>
        <w:rPr>
          <w:rFonts w:ascii="Times New Roman" w:hAnsi="Times New Roman"/>
          <w:b w:val="0"/>
          <w:i/>
          <w:sz w:val="24"/>
        </w:rPr>
        <w:t>Nature Methods, 17</w:t>
      </w:r>
      <w:r>
        <w:rPr>
          <w:rFonts w:ascii="Times New Roman" w:hAnsi="Times New Roman"/>
          <w:b w:val="0"/>
          <w:i w:val="0"/>
          <w:sz w:val="24"/>
        </w:rPr>
        <w:t>(3), 261–272. https://doi.org/10.1038/s41592-019-0686-2 ⚑</w:t>
      </w:r>
    </w:p>
    <w:p>
      <w:pPr>
        <w:spacing w:before="0" w:after="120" w:line="240" w:lineRule="auto"/>
        <w:ind w:left="720" w:hanging="720"/>
        <w:jc w:val="both"/>
      </w:pPr>
      <w:r>
        <w:rPr>
          <w:rFonts w:ascii="Times New Roman" w:hAnsi="Times New Roman"/>
          <w:b w:val="0"/>
          <w:i w:val="0"/>
          <w:sz w:val="24"/>
        </w:rPr>
        <w:t xml:space="preserve">Wang, F., Fu, Y.-H., Sheng, H.-J., Topp, E., Jiang, X., Zhu, Y.-G., &amp; Tiedje, J. M. (2021). Antibiotic resistance in the soil ecosystem: a One Health perspective. </w:t>
      </w:r>
      <w:r>
        <w:rPr>
          <w:rFonts w:ascii="Times New Roman" w:hAnsi="Times New Roman"/>
          <w:b w:val="0"/>
          <w:i/>
          <w:sz w:val="24"/>
        </w:rPr>
        <w:t>Current Opinion in Environmental Science &amp; Health, 20</w:t>
      </w:r>
      <w:r>
        <w:rPr>
          <w:rFonts w:ascii="Times New Roman" w:hAnsi="Times New Roman"/>
          <w:b w:val="0"/>
          <w:i w:val="0"/>
          <w:sz w:val="24"/>
        </w:rPr>
        <w:t>, 100230. https://doi.org/10.1016/j.coesh.2021.100230 ✓</w:t>
      </w:r>
    </w:p>
    <w:p>
      <w:pPr>
        <w:spacing w:before="0" w:after="120" w:line="240" w:lineRule="auto"/>
        <w:ind w:left="720" w:hanging="720"/>
        <w:jc w:val="both"/>
      </w:pPr>
      <w:r>
        <w:rPr>
          <w:rFonts w:ascii="Times New Roman" w:hAnsi="Times New Roman"/>
          <w:b w:val="0"/>
          <w:i w:val="0"/>
          <w:sz w:val="24"/>
        </w:rPr>
        <w:t xml:space="preserve">Wang, Y., Chen, Z., Yin, Z., &amp; Li, J. (2023). Cooperative antibiotic resistance facilitates horizontal gene transfer of integron-borne resistance genes. </w:t>
      </w:r>
      <w:r>
        <w:rPr>
          <w:rFonts w:ascii="Times New Roman" w:hAnsi="Times New Roman"/>
          <w:b w:val="0"/>
          <w:i/>
          <w:sz w:val="24"/>
        </w:rPr>
        <w:t>Nature Communications, 14</w:t>
      </w:r>
      <w:r>
        <w:rPr>
          <w:rFonts w:ascii="Times New Roman" w:hAnsi="Times New Roman"/>
          <w:b w:val="0"/>
          <w:i w:val="0"/>
          <w:sz w:val="24"/>
        </w:rPr>
        <w:t xml:space="preserve">, 7839. https://doi.org/10.1038/s41467-023-42956-0 ✓ </w:t>
      </w:r>
      <w:r>
        <w:rPr>
          <w:rFonts w:ascii="Times New Roman" w:hAnsi="Times New Roman"/>
          <w:b w:val="0"/>
          <w:i/>
          <w:sz w:val="24"/>
        </w:rPr>
        <w:t>(DOI flagged for confirmation , verify exact article against `Wang2023_Cooperative antibiotic resistance facilitates horizontal gen.pdf`)</w:t>
      </w:r>
    </w:p>
    <w:p>
      <w:pPr>
        <w:spacing w:before="0" w:after="120" w:line="240" w:lineRule="auto"/>
        <w:ind w:left="720" w:hanging="720"/>
        <w:jc w:val="both"/>
      </w:pPr>
      <w:r>
        <w:rPr>
          <w:rFonts w:ascii="Times New Roman" w:hAnsi="Times New Roman"/>
          <w:b w:val="0"/>
          <w:i w:val="0"/>
          <w:sz w:val="24"/>
        </w:rPr>
        <w:t xml:space="preserve">Wu, H., Xia, S., Bu, F., Qi, J., Liu, Y., &amp; Xu, H. (2015). Identification of integrons and phylogenetic groups of drug-resistant </w:t>
      </w:r>
      <w:r>
        <w:rPr>
          <w:rFonts w:ascii="Times New Roman" w:hAnsi="Times New Roman"/>
          <w:b w:val="0"/>
          <w:i/>
          <w:sz w:val="24"/>
        </w:rPr>
        <w:t>Escherichia coli</w:t>
      </w:r>
      <w:r>
        <w:rPr>
          <w:rFonts w:ascii="Times New Roman" w:hAnsi="Times New Roman"/>
          <w:b w:val="0"/>
          <w:i w:val="0"/>
          <w:sz w:val="24"/>
        </w:rPr>
        <w:t xml:space="preserve"> from broiler carcasses in China. </w:t>
      </w:r>
      <w:r>
        <w:rPr>
          <w:rFonts w:ascii="Times New Roman" w:hAnsi="Times New Roman"/>
          <w:b w:val="0"/>
          <w:i/>
          <w:sz w:val="24"/>
        </w:rPr>
        <w:t>International Journal of Food Microbiology, 211</w:t>
      </w:r>
      <w:r>
        <w:rPr>
          <w:rFonts w:ascii="Times New Roman" w:hAnsi="Times New Roman"/>
          <w:b w:val="0"/>
          <w:i w:val="0"/>
          <w:sz w:val="24"/>
        </w:rPr>
        <w:t>, 51–56. https://doi.org/10.1016/j.ijfoodmicro.2015.07.011 ✓</w:t>
      </w:r>
    </w:p>
    <w:p>
      <w:pPr>
        <w:spacing w:before="0" w:after="120" w:line="240" w:lineRule="auto"/>
        <w:ind w:left="720" w:hanging="720"/>
        <w:jc w:val="both"/>
      </w:pPr>
      <w:r>
        <w:rPr>
          <w:rFonts w:ascii="Times New Roman" w:hAnsi="Times New Roman"/>
          <w:b w:val="0"/>
          <w:i w:val="0"/>
          <w:sz w:val="24"/>
        </w:rPr>
        <w:t xml:space="preserve">Yakubu, Y., Ojoko, E. A., Musa, J. A., &amp; Ibrahim, J. (2020). Isolation, molecular detection and antimicrobial susceptibility profile of </w:t>
      </w:r>
      <w:r>
        <w:rPr>
          <w:rFonts w:ascii="Times New Roman" w:hAnsi="Times New Roman"/>
          <w:b w:val="0"/>
          <w:i/>
          <w:sz w:val="24"/>
        </w:rPr>
        <w:t>Salmonella</w:t>
      </w:r>
      <w:r>
        <w:rPr>
          <w:rFonts w:ascii="Times New Roman" w:hAnsi="Times New Roman"/>
          <w:b w:val="0"/>
          <w:i w:val="0"/>
          <w:sz w:val="24"/>
        </w:rPr>
        <w:t xml:space="preserve"> and </w:t>
      </w:r>
      <w:r>
        <w:rPr>
          <w:rFonts w:ascii="Times New Roman" w:hAnsi="Times New Roman"/>
          <w:b w:val="0"/>
          <w:i/>
          <w:sz w:val="24"/>
        </w:rPr>
        <w:t>E. coli</w:t>
      </w:r>
      <w:r>
        <w:rPr>
          <w:rFonts w:ascii="Times New Roman" w:hAnsi="Times New Roman"/>
          <w:b w:val="0"/>
          <w:i w:val="0"/>
          <w:sz w:val="24"/>
        </w:rPr>
        <w:t xml:space="preserve"> from livestock in Kaduna, Nigeria. </w:t>
      </w:r>
      <w:r>
        <w:rPr>
          <w:rFonts w:ascii="Times New Roman" w:hAnsi="Times New Roman"/>
          <w:b w:val="0"/>
          <w:i/>
          <w:sz w:val="24"/>
        </w:rPr>
        <w:t>Nigerian Journal of Microbiology, 34</w:t>
      </w:r>
      <w:r>
        <w:rPr>
          <w:rFonts w:ascii="Times New Roman" w:hAnsi="Times New Roman"/>
          <w:b w:val="0"/>
          <w:i w:val="0"/>
          <w:sz w:val="24"/>
        </w:rPr>
        <w:t>(1), 5021–5031. ✓</w:t>
      </w:r>
    </w:p>
    <w:p>
      <w:pPr>
        <w:spacing w:before="0" w:after="120" w:line="240" w:lineRule="auto"/>
        <w:ind w:left="720" w:hanging="720"/>
        <w:jc w:val="both"/>
      </w:pPr>
      <w:r>
        <w:rPr>
          <w:rFonts w:ascii="Times New Roman" w:hAnsi="Times New Roman"/>
          <w:b w:val="0"/>
          <w:i w:val="0"/>
          <w:sz w:val="24"/>
        </w:rPr>
        <w:t xml:space="preserve">Yin, Y., Gu, J., Wang, X., Song, W., Zhang, K., Sun, W., Zhang, X., Zhang, Y., &amp; Li, H. (2017). Effects of copper addition on copper resistance, antibiotic resistance genes, and intI1 during swine manure composting. </w:t>
      </w:r>
      <w:r>
        <w:rPr>
          <w:rFonts w:ascii="Times New Roman" w:hAnsi="Times New Roman"/>
          <w:b w:val="0"/>
          <w:i/>
          <w:sz w:val="24"/>
        </w:rPr>
        <w:t>Frontiers in Microbiology, 8</w:t>
      </w:r>
      <w:r>
        <w:rPr>
          <w:rFonts w:ascii="Times New Roman" w:hAnsi="Times New Roman"/>
          <w:b w:val="0"/>
          <w:i w:val="0"/>
          <w:sz w:val="24"/>
        </w:rPr>
        <w:t>, 344. https://doi.org/10.3389/fmicb.2017.00344 ✓</w:t>
      </w:r>
    </w:p>
    <w:p>
      <w:r>
        <w:br w:type="page"/>
      </w:r>
    </w:p>
    <w:p>
      <w:pPr>
        <w:pStyle w:val="Heading1"/>
        <w:spacing w:before="240" w:after="120" w:line="480" w:lineRule="auto"/>
        <w:jc w:val="center"/>
      </w:pPr>
      <w:r>
        <w:rPr>
          <w:rFonts w:ascii="Times New Roman" w:hAnsi="Times New Roman"/>
          <w:b/>
          <w:i w:val="0"/>
          <w:color w:val="000000"/>
          <w:sz w:val="28"/>
        </w:rPr>
        <w:t>APPENDICES</w:t>
      </w:r>
    </w:p>
    <w:p>
      <w:pPr>
        <w:pStyle w:val="Heading3"/>
        <w:spacing w:before="120" w:after="60" w:line="240" w:lineRule="auto"/>
        <w:jc w:val="left"/>
      </w:pPr>
      <w:r>
        <w:rPr>
          <w:rFonts w:ascii="Times New Roman" w:hAnsi="Times New Roman"/>
          <w:b/>
          <w:i w:val="0"/>
          <w:color w:val="000000"/>
          <w:sz w:val="24"/>
        </w:rPr>
        <w:t>APPENDIX A: Antibiotic Disk Panel Used for Antimicrobial Susceptibility Testing</w:t>
      </w:r>
    </w:p>
    <w:p>
      <w:pPr>
        <w:spacing w:before="0" w:after="120" w:line="240" w:lineRule="auto"/>
        <w:jc w:val="both"/>
      </w:pPr>
      <w:r>
        <w:rPr>
          <w:rFonts w:ascii="Times New Roman" w:hAnsi="Times New Roman"/>
          <w:b/>
          <w:i w:val="0"/>
          <w:sz w:val="24"/>
        </w:rPr>
        <w:t>Table A1: Details of antibiotic disks used in antimicrobial susceptibility testing (CLSI, 2024)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40" w:after="40" w:line="240" w:lineRule="auto"/>
              <w:jc w:val="both"/>
            </w:pPr>
            <w:r>
              <w:rPr>
                <w:rFonts w:ascii="Times New Roman" w:hAnsi="Times New Roman"/>
                <w:sz w:val="22"/>
              </w:rPr>
            </w:r>
            <w:r>
              <w:rPr>
                <w:rFonts w:ascii="Times New Roman" w:hAnsi="Times New Roman"/>
                <w:b/>
                <w:i w:val="0"/>
                <w:sz w:val="22"/>
              </w:rPr>
              <w:t>S/N</w:t>
            </w:r>
          </w:p>
        </w:tc>
        <w:tc>
          <w:tcPr>
            <w:tcW w:type="dxa" w:w="1234"/>
          </w:tcPr>
          <w:p>
            <w:pPr>
              <w:spacing w:before="40" w:after="40" w:line="240" w:lineRule="auto"/>
              <w:jc w:val="both"/>
            </w:pPr>
            <w:r>
              <w:rPr>
                <w:rFonts w:ascii="Times New Roman" w:hAnsi="Times New Roman"/>
                <w:sz w:val="22"/>
              </w:rPr>
            </w:r>
            <w:r>
              <w:rPr>
                <w:rFonts w:ascii="Times New Roman" w:hAnsi="Times New Roman"/>
                <w:b/>
                <w:i w:val="0"/>
                <w:sz w:val="22"/>
              </w:rPr>
              <w:t>Antibiotic</w:t>
            </w:r>
          </w:p>
        </w:tc>
        <w:tc>
          <w:tcPr>
            <w:tcW w:type="dxa" w:w="1234"/>
          </w:tcPr>
          <w:p>
            <w:pPr>
              <w:spacing w:before="40" w:after="40" w:line="240" w:lineRule="auto"/>
              <w:jc w:val="both"/>
            </w:pPr>
            <w:r>
              <w:rPr>
                <w:rFonts w:ascii="Times New Roman" w:hAnsi="Times New Roman"/>
                <w:sz w:val="22"/>
              </w:rPr>
            </w:r>
            <w:r>
              <w:rPr>
                <w:rFonts w:ascii="Times New Roman" w:hAnsi="Times New Roman"/>
                <w:b/>
                <w:i w:val="0"/>
                <w:sz w:val="22"/>
              </w:rPr>
              <w:t>Abbreviation</w:t>
            </w:r>
          </w:p>
        </w:tc>
        <w:tc>
          <w:tcPr>
            <w:tcW w:type="dxa" w:w="1234"/>
          </w:tcPr>
          <w:p>
            <w:pPr>
              <w:spacing w:before="40" w:after="40" w:line="240" w:lineRule="auto"/>
              <w:jc w:val="both"/>
            </w:pPr>
            <w:r>
              <w:rPr>
                <w:rFonts w:ascii="Times New Roman" w:hAnsi="Times New Roman"/>
                <w:sz w:val="22"/>
              </w:rPr>
            </w:r>
            <w:r>
              <w:rPr>
                <w:rFonts w:ascii="Times New Roman" w:hAnsi="Times New Roman"/>
                <w:b/>
                <w:i w:val="0"/>
                <w:sz w:val="22"/>
              </w:rPr>
              <w:t>Disk Content</w:t>
            </w:r>
          </w:p>
        </w:tc>
        <w:tc>
          <w:tcPr>
            <w:tcW w:type="dxa" w:w="1234"/>
          </w:tcPr>
          <w:p>
            <w:pPr>
              <w:spacing w:before="40" w:after="40" w:line="240" w:lineRule="auto"/>
              <w:jc w:val="both"/>
            </w:pPr>
            <w:r>
              <w:rPr>
                <w:rFonts w:ascii="Times New Roman" w:hAnsi="Times New Roman"/>
                <w:sz w:val="22"/>
              </w:rPr>
            </w:r>
            <w:r>
              <w:rPr>
                <w:rFonts w:ascii="Times New Roman" w:hAnsi="Times New Roman"/>
                <w:b/>
                <w:i w:val="0"/>
                <w:sz w:val="22"/>
              </w:rPr>
              <w:t>Antibiotic Class</w:t>
            </w:r>
          </w:p>
        </w:tc>
        <w:tc>
          <w:tcPr>
            <w:tcW w:type="dxa" w:w="1234"/>
          </w:tcPr>
          <w:p>
            <w:pPr>
              <w:spacing w:before="40" w:after="40" w:line="240" w:lineRule="auto"/>
              <w:jc w:val="both"/>
            </w:pPr>
            <w:r>
              <w:rPr>
                <w:rFonts w:ascii="Times New Roman" w:hAnsi="Times New Roman"/>
                <w:sz w:val="22"/>
              </w:rPr>
            </w:r>
            <w:r>
              <w:rPr>
                <w:rFonts w:ascii="Times New Roman" w:hAnsi="Times New Roman"/>
                <w:b/>
                <w:i w:val="0"/>
                <w:sz w:val="22"/>
              </w:rPr>
              <w:t>Manufacturer</w:t>
            </w:r>
          </w:p>
        </w:tc>
        <w:tc>
          <w:tcPr>
            <w:tcW w:type="dxa" w:w="1234"/>
          </w:tcPr>
          <w:p>
            <w:pPr>
              <w:spacing w:before="40" w:after="40" w:line="240" w:lineRule="auto"/>
              <w:jc w:val="both"/>
            </w:pPr>
            <w:r>
              <w:rPr>
                <w:rFonts w:ascii="Times New Roman" w:hAnsi="Times New Roman"/>
                <w:sz w:val="22"/>
              </w:rPr>
            </w:r>
            <w:r>
              <w:rPr>
                <w:rFonts w:ascii="Times New Roman" w:hAnsi="Times New Roman"/>
                <w:b/>
                <w:i w:val="0"/>
                <w:sz w:val="22"/>
              </w:rPr>
              <w:t>WHO Classification</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1</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Meropenem</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MEM</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10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Carbapenem</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2</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Ceftriaxone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CRO</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3rd-gen cephalosporin</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3</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Ciprofloxacin</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CIP</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5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Fluoroquinolone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4</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Azithromycin</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AZM</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15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Macrolide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5</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Gentamicin</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CN</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10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Aminoglycoside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Critically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6</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Trimethoprim-Sulfamethoxazole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SXT</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25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Folate pathway inhibitor</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Highly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7</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Chloramphenicol</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C</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Phenicol</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Highly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8</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Amoxicillin-Clavulanic acid</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AMC</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β-lactam/inhibitor combination</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Highly 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9</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Nalidixic acid</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NA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First-generation quinolone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Important</w:t>
            </w:r>
          </w:p>
        </w:tc>
      </w:tr>
      <w:tr>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10</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Tetracycline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TE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30 µg</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Tetracycline</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HIMEDIA®, India</w:t>
            </w:r>
          </w:p>
        </w:tc>
        <w:tc>
          <w:tcPr>
            <w:tcW w:type="dxa" w:w="1234"/>
          </w:tcPr>
          <w:p>
            <w:pPr>
              <w:spacing w:before="40" w:after="40" w:line="240" w:lineRule="auto"/>
              <w:jc w:val="both"/>
            </w:pPr>
            <w:r>
              <w:rPr>
                <w:rFonts w:ascii="Times New Roman" w:hAnsi="Times New Roman"/>
                <w:sz w:val="22"/>
              </w:rPr>
            </w:r>
            <w:r>
              <w:rPr>
                <w:rFonts w:ascii="Times New Roman" w:hAnsi="Times New Roman"/>
                <w:b w:val="0"/>
                <w:i w:val="0"/>
                <w:sz w:val="22"/>
              </w:rPr>
              <w:t>Important</w:t>
            </w:r>
          </w:p>
        </w:tc>
      </w:tr>
    </w:tbl>
    <w:p>
      <w:pPr>
        <w:spacing w:after="120"/>
      </w:pPr>
    </w:p>
    <w:p>
      <w:pPr>
        <w:pStyle w:val="Heading3"/>
        <w:spacing w:before="120" w:after="60" w:line="240" w:lineRule="auto"/>
        <w:jc w:val="left"/>
      </w:pPr>
      <w:r>
        <w:rPr>
          <w:rFonts w:ascii="Times New Roman" w:hAnsi="Times New Roman"/>
          <w:b/>
          <w:i w:val="0"/>
          <w:color w:val="000000"/>
          <w:sz w:val="24"/>
        </w:rPr>
        <w:t>APPENDIX B: PCR Primer Sequences Used in This Study</w:t>
      </w:r>
    </w:p>
    <w:p>
      <w:pPr>
        <w:spacing w:before="0" w:after="120" w:line="240" w:lineRule="auto"/>
        <w:jc w:val="both"/>
      </w:pPr>
      <w:r>
        <w:rPr>
          <w:rFonts w:ascii="Times New Roman" w:hAnsi="Times New Roman"/>
          <w:b/>
          <w:i w:val="0"/>
          <w:sz w:val="24"/>
        </w:rPr>
        <w:t>Table B1: Primers used for PCR amplification of target genes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Target Gene</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Purpose</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Primer Name</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Sequence (5′→3′)</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Amplicon Size</w:t>
            </w:r>
          </w:p>
        </w:tc>
        <w:tc>
          <w:tcPr>
            <w:tcW w:type="dxa" w:w="1440"/>
          </w:tcPr>
          <w:p>
            <w:pPr>
              <w:spacing w:before="40" w:after="40" w:line="240" w:lineRule="auto"/>
              <w:jc w:val="both"/>
            </w:pPr>
            <w:r>
              <w:rPr>
                <w:rFonts w:ascii="Times New Roman" w:hAnsi="Times New Roman"/>
                <w:sz w:val="22"/>
              </w:rPr>
            </w:r>
            <w:r>
              <w:rPr>
                <w:rFonts w:ascii="Times New Roman" w:hAnsi="Times New Roman"/>
                <w:b/>
                <w:i w:val="0"/>
                <w:sz w:val="22"/>
              </w:rPr>
              <w:t>Reference</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16S rRNA</w:t>
            </w:r>
          </w:p>
        </w:tc>
        <w:tc>
          <w:tcPr>
            <w:tcW w:type="dxa" w:w="1440"/>
          </w:tcPr>
          <w:p>
            <w:pPr>
              <w:spacing w:before="40" w:after="40" w:line="240" w:lineRule="auto"/>
              <w:jc w:val="both"/>
            </w:pPr>
            <w:r>
              <w:rPr>
                <w:rFonts w:ascii="Times New Roman" w:hAnsi="Times New Roman"/>
                <w:sz w:val="22"/>
              </w:rPr>
            </w:r>
            <w:r>
              <w:rPr>
                <w:rFonts w:ascii="Times New Roman" w:hAnsi="Times New Roman"/>
                <w:b w:val="0"/>
                <w:i/>
                <w:sz w:val="22"/>
              </w:rPr>
              <w:t>E. coli</w:t>
            </w:r>
            <w:r>
              <w:rPr>
                <w:rFonts w:ascii="Times New Roman" w:hAnsi="Times New Roman"/>
                <w:b w:val="0"/>
                <w:i w:val="0"/>
                <w:sz w:val="22"/>
              </w:rPr>
              <w:t xml:space="preserve"> confirmation</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Forward</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AGA GTT TGA TCC TGG CTC AG</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~1,500 bp</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Lane (1991)</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16S rRNA</w:t>
            </w:r>
          </w:p>
        </w:tc>
        <w:tc>
          <w:tcPr>
            <w:tcW w:type="dxa" w:w="1440"/>
          </w:tcPr>
          <w:p>
            <w:pPr>
              <w:spacing w:before="40" w:after="40" w:line="240" w:lineRule="auto"/>
              <w:jc w:val="both"/>
            </w:pPr>
            <w:r>
              <w:rPr>
                <w:rFonts w:ascii="Times New Roman" w:hAnsi="Times New Roman"/>
                <w:sz w:val="22"/>
              </w:rPr>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Reverse</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GGT TAC CTT GTT ACG ACT T</w:t>
            </w:r>
          </w:p>
        </w:tc>
        <w:tc>
          <w:tcPr>
            <w:tcW w:type="dxa" w:w="1440"/>
          </w:tcPr>
          <w:p>
            <w:pPr>
              <w:spacing w:before="40" w:after="40" w:line="240" w:lineRule="auto"/>
              <w:jc w:val="both"/>
            </w:pPr>
            <w:r>
              <w:rPr>
                <w:rFonts w:ascii="Times New Roman" w:hAnsi="Times New Roman"/>
                <w:sz w:val="22"/>
              </w:rPr>
            </w:r>
          </w:p>
        </w:tc>
        <w:tc>
          <w:tcPr>
            <w:tcW w:type="dxa" w:w="1440"/>
          </w:tcPr>
          <w:p>
            <w:pPr>
              <w:spacing w:before="40" w:after="40" w:line="240" w:lineRule="auto"/>
              <w:jc w:val="both"/>
            </w:pPr>
            <w:r>
              <w:rPr>
                <w:rFonts w:ascii="Times New Roman" w:hAnsi="Times New Roman"/>
                <w:sz w:val="22"/>
              </w:rPr>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sz w:val="22"/>
              </w:rPr>
              <w:t>intI1</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Class I integron detection</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CSL1 (Forward)</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AAA ACC GCC ACT GCG CCG TTA</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~1,100 bp</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Fonseca et al. (2005)</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sz w:val="22"/>
              </w:rPr>
              <w:t>intI1</w:t>
            </w:r>
          </w:p>
        </w:tc>
        <w:tc>
          <w:tcPr>
            <w:tcW w:type="dxa" w:w="1440"/>
          </w:tcPr>
          <w:p>
            <w:pPr>
              <w:spacing w:before="40" w:after="40" w:line="240" w:lineRule="auto"/>
              <w:jc w:val="both"/>
            </w:pPr>
            <w:r>
              <w:rPr>
                <w:rFonts w:ascii="Times New Roman" w:hAnsi="Times New Roman"/>
                <w:sz w:val="22"/>
              </w:rPr>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CSR1 (Reverse)</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GAA GAC GGC TGC ACT GAA CG</w:t>
            </w:r>
          </w:p>
        </w:tc>
        <w:tc>
          <w:tcPr>
            <w:tcW w:type="dxa" w:w="1440"/>
          </w:tcPr>
          <w:p>
            <w:pPr>
              <w:spacing w:before="40" w:after="40" w:line="240" w:lineRule="auto"/>
              <w:jc w:val="both"/>
            </w:pPr>
            <w:r>
              <w:rPr>
                <w:rFonts w:ascii="Times New Roman" w:hAnsi="Times New Roman"/>
                <w:sz w:val="22"/>
              </w:rPr>
            </w:r>
          </w:p>
        </w:tc>
        <w:tc>
          <w:tcPr>
            <w:tcW w:type="dxa" w:w="1440"/>
          </w:tcPr>
          <w:p>
            <w:pPr>
              <w:spacing w:before="40" w:after="40" w:line="240" w:lineRule="auto"/>
              <w:jc w:val="both"/>
            </w:pPr>
            <w:r>
              <w:rPr>
                <w:rFonts w:ascii="Times New Roman" w:hAnsi="Times New Roman"/>
                <w:sz w:val="22"/>
              </w:rPr>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sz w:val="22"/>
              </w:rPr>
              <w:t>intI2</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Class II integron detection</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Forward</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TTA TTG CTG GGG ATT AGG C</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~233 bp</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Goldstein et al. (2001)</w:t>
            </w:r>
          </w:p>
        </w:tc>
      </w:tr>
      <w:tr>
        <w:tc>
          <w:tcPr>
            <w:tcW w:type="dxa" w:w="1440"/>
          </w:tcPr>
          <w:p>
            <w:pPr>
              <w:spacing w:before="40" w:after="40" w:line="240" w:lineRule="auto"/>
              <w:jc w:val="both"/>
            </w:pPr>
            <w:r>
              <w:rPr>
                <w:rFonts w:ascii="Times New Roman" w:hAnsi="Times New Roman"/>
                <w:sz w:val="22"/>
              </w:rPr>
            </w:r>
            <w:r>
              <w:rPr>
                <w:rFonts w:ascii="Times New Roman" w:hAnsi="Times New Roman"/>
                <w:b w:val="0"/>
                <w:i/>
                <w:sz w:val="22"/>
              </w:rPr>
              <w:t>intI2</w:t>
            </w:r>
          </w:p>
        </w:tc>
        <w:tc>
          <w:tcPr>
            <w:tcW w:type="dxa" w:w="1440"/>
          </w:tcPr>
          <w:p>
            <w:pPr>
              <w:spacing w:before="40" w:after="40" w:line="240" w:lineRule="auto"/>
              <w:jc w:val="both"/>
            </w:pPr>
            <w:r>
              <w:rPr>
                <w:rFonts w:ascii="Times New Roman" w:hAnsi="Times New Roman"/>
                <w:sz w:val="22"/>
              </w:rPr>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Reverse</w:t>
            </w:r>
          </w:p>
        </w:tc>
        <w:tc>
          <w:tcPr>
            <w:tcW w:type="dxa" w:w="1440"/>
          </w:tcPr>
          <w:p>
            <w:pPr>
              <w:spacing w:before="40" w:after="40" w:line="240" w:lineRule="auto"/>
              <w:jc w:val="both"/>
            </w:pPr>
            <w:r>
              <w:rPr>
                <w:rFonts w:ascii="Times New Roman" w:hAnsi="Times New Roman"/>
                <w:sz w:val="22"/>
              </w:rPr>
            </w:r>
            <w:r>
              <w:rPr>
                <w:rFonts w:ascii="Times New Roman" w:hAnsi="Times New Roman"/>
                <w:b w:val="0"/>
                <w:i w:val="0"/>
                <w:sz w:val="22"/>
              </w:rPr>
              <w:t>ACG GCT ACC CTC TGT TAT C</w:t>
            </w:r>
          </w:p>
        </w:tc>
        <w:tc>
          <w:tcPr>
            <w:tcW w:type="dxa" w:w="1440"/>
          </w:tcPr>
          <w:p>
            <w:pPr>
              <w:spacing w:before="40" w:after="40" w:line="240" w:lineRule="auto"/>
              <w:jc w:val="both"/>
            </w:pPr>
            <w:r>
              <w:rPr>
                <w:rFonts w:ascii="Times New Roman" w:hAnsi="Times New Roman"/>
                <w:sz w:val="22"/>
              </w:rPr>
            </w:r>
          </w:p>
        </w:tc>
        <w:tc>
          <w:tcPr>
            <w:tcW w:type="dxa" w:w="1440"/>
          </w:tcPr>
          <w:p>
            <w:pPr>
              <w:spacing w:before="40" w:after="40" w:line="240" w:lineRule="auto"/>
              <w:jc w:val="both"/>
            </w:pPr>
            <w:r>
              <w:rPr>
                <w:rFonts w:ascii="Times New Roman" w:hAnsi="Times New Roman"/>
                <w:sz w:val="22"/>
              </w:rPr>
            </w:r>
          </w:p>
        </w:tc>
      </w:tr>
    </w:tbl>
    <w:p>
      <w:pPr>
        <w:spacing w:after="120"/>
      </w:pPr>
    </w:p>
    <w:p>
      <w:pPr>
        <w:spacing w:before="0" w:after="120" w:line="240" w:lineRule="auto"/>
        <w:jc w:val="both"/>
      </w:pPr>
      <w:r>
        <w:rPr>
          <w:rFonts w:ascii="Times New Roman" w:hAnsi="Times New Roman"/>
          <w:b/>
          <w:i w:val="0"/>
          <w:sz w:val="24"/>
        </w:rPr>
        <w:t>PCR Reaction Mix (25 µL total volume):</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line="240" w:lineRule="auto"/>
              <w:jc w:val="both"/>
            </w:pPr>
            <w:r>
              <w:rPr>
                <w:rFonts w:ascii="Times New Roman" w:hAnsi="Times New Roman"/>
                <w:sz w:val="22"/>
              </w:rPr>
            </w:r>
            <w:r>
              <w:rPr>
                <w:rFonts w:ascii="Times New Roman" w:hAnsi="Times New Roman"/>
                <w:b/>
                <w:i w:val="0"/>
                <w:sz w:val="22"/>
              </w:rPr>
              <w:t>Component</w:t>
            </w:r>
          </w:p>
        </w:tc>
        <w:tc>
          <w:tcPr>
            <w:tcW w:type="dxa" w:w="4320"/>
          </w:tcPr>
          <w:p>
            <w:pPr>
              <w:spacing w:before="40" w:after="40" w:line="240" w:lineRule="auto"/>
              <w:jc w:val="both"/>
            </w:pPr>
            <w:r>
              <w:rPr>
                <w:rFonts w:ascii="Times New Roman" w:hAnsi="Times New Roman"/>
                <w:sz w:val="22"/>
              </w:rPr>
            </w:r>
            <w:r>
              <w:rPr>
                <w:rFonts w:ascii="Times New Roman" w:hAnsi="Times New Roman"/>
                <w:b/>
                <w:i w:val="0"/>
                <w:sz w:val="22"/>
              </w:rPr>
              <w:t>Volume</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Top Taq PCR master mix (2×)</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12.5 µL</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Forward primer (10 mM)</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1.0 µL</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Reverse primer (10 mM)</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1.0 µL</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Nuclease-free water</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5.5 µL</w:t>
            </w:r>
          </w:p>
        </w:tc>
      </w:tr>
      <w:tr>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DNA template</w:t>
            </w:r>
          </w:p>
        </w:tc>
        <w:tc>
          <w:tcPr>
            <w:tcW w:type="dxa" w:w="4320"/>
          </w:tcPr>
          <w:p>
            <w:pPr>
              <w:spacing w:before="40" w:after="40" w:line="240" w:lineRule="auto"/>
              <w:jc w:val="both"/>
            </w:pPr>
            <w:r>
              <w:rPr>
                <w:rFonts w:ascii="Times New Roman" w:hAnsi="Times New Roman"/>
                <w:sz w:val="22"/>
              </w:rPr>
            </w:r>
            <w:r>
              <w:rPr>
                <w:rFonts w:ascii="Times New Roman" w:hAnsi="Times New Roman"/>
                <w:b w:val="0"/>
                <w:i w:val="0"/>
                <w:sz w:val="22"/>
              </w:rPr>
              <w:t>5.0 µL</w:t>
            </w:r>
          </w:p>
        </w:tc>
      </w:tr>
      <w:tr>
        <w:tc>
          <w:tcPr>
            <w:tcW w:type="dxa" w:w="4320"/>
          </w:tcPr>
          <w:p>
            <w:pPr>
              <w:spacing w:before="40" w:after="40" w:line="240" w:lineRule="auto"/>
              <w:jc w:val="both"/>
            </w:pPr>
            <w:r>
              <w:rPr>
                <w:rFonts w:ascii="Times New Roman" w:hAnsi="Times New Roman"/>
                <w:sz w:val="22"/>
              </w:rPr>
            </w:r>
            <w:r>
              <w:rPr>
                <w:rFonts w:ascii="Times New Roman" w:hAnsi="Times New Roman"/>
                <w:b/>
                <w:i w:val="0"/>
                <w:sz w:val="22"/>
              </w:rPr>
              <w:t>Total</w:t>
            </w:r>
          </w:p>
        </w:tc>
        <w:tc>
          <w:tcPr>
            <w:tcW w:type="dxa" w:w="4320"/>
          </w:tcPr>
          <w:p>
            <w:pPr>
              <w:spacing w:before="40" w:after="40" w:line="240" w:lineRule="auto"/>
              <w:jc w:val="both"/>
            </w:pPr>
            <w:r>
              <w:rPr>
                <w:rFonts w:ascii="Times New Roman" w:hAnsi="Times New Roman"/>
                <w:sz w:val="22"/>
              </w:rPr>
            </w:r>
            <w:r>
              <w:rPr>
                <w:rFonts w:ascii="Times New Roman" w:hAnsi="Times New Roman"/>
                <w:b/>
                <w:i w:val="0"/>
                <w:sz w:val="22"/>
              </w:rPr>
              <w:t>25.0 µL</w:t>
            </w:r>
          </w:p>
        </w:tc>
      </w:tr>
    </w:tbl>
    <w:p>
      <w:pPr>
        <w:spacing w:after="120"/>
      </w:pPr>
    </w:p>
    <w:p>
      <w:pPr>
        <w:spacing w:before="0" w:after="120" w:line="240" w:lineRule="auto"/>
        <w:jc w:val="both"/>
      </w:pPr>
      <w:r>
        <w:rPr>
          <w:rFonts w:ascii="Times New Roman" w:hAnsi="Times New Roman"/>
          <w:b/>
          <w:i w:val="0"/>
          <w:sz w:val="24"/>
        </w:rPr>
        <w:t>PCR Thermal Cycling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Step</w:t>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Temperature</w:t>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Duration</w:t>
            </w:r>
          </w:p>
        </w:tc>
        <w:tc>
          <w:tcPr>
            <w:tcW w:type="dxa" w:w="2160"/>
          </w:tcPr>
          <w:p>
            <w:pPr>
              <w:spacing w:before="40" w:after="40" w:line="240" w:lineRule="auto"/>
              <w:jc w:val="both"/>
            </w:pPr>
            <w:r>
              <w:rPr>
                <w:rFonts w:ascii="Times New Roman" w:hAnsi="Times New Roman"/>
                <w:sz w:val="22"/>
              </w:rPr>
            </w:r>
            <w:r>
              <w:rPr>
                <w:rFonts w:ascii="Times New Roman" w:hAnsi="Times New Roman"/>
                <w:b/>
                <w:i w:val="0"/>
                <w:sz w:val="22"/>
              </w:rPr>
              <w:t>Cycles</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Initial denaturation</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94°C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3 min</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Denaturation</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94°C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 min</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40</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Annealing: 16S rRNA / integrons</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55°C / 49°C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30 sec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40</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Extension</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72°C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 min 30 sec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40</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Final extension</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72°C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10 min</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1</w:t>
            </w:r>
          </w:p>
        </w:tc>
      </w:tr>
      <w:tr>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Hold</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4°C</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w:t>
            </w:r>
          </w:p>
        </w:tc>
        <w:tc>
          <w:tcPr>
            <w:tcW w:type="dxa" w:w="2160"/>
          </w:tcPr>
          <w:p>
            <w:pPr>
              <w:spacing w:before="40" w:after="40" w:line="240" w:lineRule="auto"/>
              <w:jc w:val="both"/>
            </w:pPr>
            <w:r>
              <w:rPr>
                <w:rFonts w:ascii="Times New Roman" w:hAnsi="Times New Roman"/>
                <w:sz w:val="22"/>
              </w:rPr>
            </w:r>
            <w:r>
              <w:rPr>
                <w:rFonts w:ascii="Times New Roman" w:hAnsi="Times New Roman"/>
                <w:b w:val="0"/>
                <w:i w:val="0"/>
                <w:sz w:val="22"/>
              </w:rPr>
              <w:t>—</w:t>
            </w:r>
          </w:p>
        </w:tc>
      </w:tr>
    </w:tbl>
    <w:p>
      <w:pPr>
        <w:spacing w:after="120"/>
      </w:pPr>
    </w:p>
    <w:p>
      <w:pPr>
        <w:pStyle w:val="Heading3"/>
        <w:spacing w:before="120" w:after="60" w:line="240" w:lineRule="auto"/>
        <w:jc w:val="left"/>
      </w:pPr>
      <w:r>
        <w:rPr>
          <w:rFonts w:ascii="Times New Roman" w:hAnsi="Times New Roman"/>
          <w:b/>
          <w:i w:val="0"/>
          <w:color w:val="000000"/>
          <w:sz w:val="24"/>
        </w:rPr>
        <w:t>APPENDIX C: Sample Collection Data Form</w:t>
      </w:r>
    </w:p>
    <w:p>
      <w:pPr>
        <w:spacing w:before="0" w:after="120" w:line="240" w:lineRule="auto"/>
        <w:jc w:val="both"/>
      </w:pPr>
      <w:r>
        <w:rPr>
          <w:rFonts w:ascii="Times New Roman" w:hAnsi="Times New Roman"/>
          <w:b/>
          <w:i w:val="0"/>
          <w:sz w:val="24"/>
        </w:rPr>
        <w:t>Field Sample Record: Poultry Manure Vendor Study, Zaria Metropolis</w:t>
      </w:r>
    </w:p>
    <w:p>
      <w:pPr>
        <w:spacing w:before="0" w:after="120" w:line="240" w:lineRule="auto"/>
        <w:jc w:val="both"/>
      </w:pPr>
      <w:r>
        <w:rPr>
          <w:rFonts w:ascii="Times New Roman" w:hAnsi="Times New Roman"/>
          <w:b w:val="0"/>
          <w:i/>
          <w:sz w:val="24"/>
        </w:rPr>
        <w:t>(One form completed per sample. Original forms to be retained in the study record)</w:t>
      </w:r>
    </w:p>
    <w:p>
      <w:pPr>
        <w:pStyle w:val="Heading3"/>
        <w:spacing w:before="120" w:after="60" w:line="240" w:lineRule="auto"/>
        <w:jc w:val="left"/>
      </w:pPr>
      <w:r>
        <w:rPr>
          <w:rFonts w:ascii="Times New Roman" w:hAnsi="Times New Roman"/>
          <w:b/>
          <w:i w:val="0"/>
          <w:color w:val="000000"/>
          <w:sz w:val="24"/>
        </w:rPr>
        <w:t>APPENDIX D: Additional Gel Images</w:t>
      </w:r>
    </w:p>
    <w:p>
      <w:pPr>
        <w:spacing w:before="0" w:after="120" w:line="240" w:lineRule="auto"/>
        <w:jc w:val="both"/>
      </w:pPr>
      <w:r>
        <w:rPr>
          <w:rFonts w:ascii="Times New Roman" w:hAnsi="Times New Roman"/>
          <w:b w:val="0"/>
          <w:i/>
          <w:sz w:val="24"/>
        </w:rPr>
        <w:t>(Insert any additional agarose gel images that are not included in Chapter 4, e.g., repeat gels, control-lane documentation, or gels from preliminary isolation runs. Label each image with lane contents, amplicon sizes, and plate designation.)</w:t>
      </w: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[Placeholder: insert additional gel images if available from `Results/gel_images/`]</w:t>
      </w:r>
    </w:p>
    <w:p>
      <w:pPr>
        <w:pStyle w:val="Heading3"/>
        <w:spacing w:before="120" w:after="60" w:line="240" w:lineRule="auto"/>
        <w:jc w:val="left"/>
      </w:pPr>
      <w:r>
        <w:rPr>
          <w:rFonts w:ascii="Times New Roman" w:hAnsi="Times New Roman"/>
          <w:b/>
          <w:i w:val="0"/>
          <w:color w:val="000000"/>
          <w:sz w:val="24"/>
        </w:rPr>
        <w:t>APPENDIX E: Ethical Clearance</w:t>
      </w:r>
    </w:p>
    <w:p>
      <w:pPr>
        <w:spacing w:before="0" w:after="120" w:line="240" w:lineRule="auto"/>
        <w:jc w:val="both"/>
      </w:pPr>
      <w:r>
        <w:rPr>
          <w:rFonts w:ascii="Times New Roman" w:hAnsi="Times New Roman"/>
          <w:b w:val="0"/>
          <w:i/>
          <w:sz w:val="24"/>
        </w:rPr>
        <w:t>(Insert scanned copy of the ethical clearance approval letter from the ABU Zaria Health Research Ethics Committee or the relevant departmental ethics authority, if obtained. If ethical clearance was granted by the Faculty of Veterinary Medicine Ethics Committee, include the reference number and date of approval.)</w:t>
      </w:r>
    </w:p>
    <w:p>
      <w:pPr>
        <w:spacing w:before="60" w:after="60" w:line="240" w:lineRule="auto"/>
        <w:ind w:left="720"/>
        <w:jc w:val="left"/>
      </w:pPr>
      <w:r>
        <w:rPr>
          <w:rFonts w:ascii="Times New Roman" w:hAnsi="Times New Roman"/>
          <w:b w:val="0"/>
          <w:i/>
          <w:sz w:val="22"/>
        </w:rPr>
        <w:t xml:space="preserve">Note: </w:t>
      </w:r>
      <w:r>
        <w:rPr>
          <w:rFonts w:ascii="Times New Roman" w:hAnsi="Times New Roman"/>
          <w:b/>
          <w:i/>
          <w:sz w:val="22"/>
        </w:rPr>
        <w:t>[Placeholder: Amina to insert ethical clearance documentation before final submission]</w:t>
      </w:r>
    </w:p>
    <w:p>
      <w:pPr>
        <w:pStyle w:val="Heading3"/>
        <w:spacing w:before="120" w:after="60" w:line="240" w:lineRule="auto"/>
        <w:jc w:val="left"/>
      </w:pPr>
      <w:r>
        <w:rPr>
          <w:rFonts w:ascii="Times New Roman" w:hAnsi="Times New Roman"/>
          <w:b/>
          <w:i w:val="0"/>
          <w:color w:val="000000"/>
          <w:sz w:val="24"/>
        </w:rPr>
        <w:t>APPENDIX F: Python Statistical Output, Chi-Square Analysis</w:t>
      </w:r>
    </w:p>
    <w:p>
      <w:pPr>
        <w:spacing w:before="0" w:after="120" w:line="240" w:lineRule="auto"/>
        <w:jc w:val="both"/>
      </w:pPr>
      <w:r>
        <w:rPr>
          <w:rFonts w:ascii="Times New Roman" w:hAnsi="Times New Roman"/>
          <w:b w:val="0"/>
          <w:i w:val="0"/>
          <w:sz w:val="24"/>
        </w:rPr>
        <w:t xml:space="preserve">The following output was generated by </w:t>
      </w:r>
      <w:r>
        <w:rPr>
          <w:rFonts w:ascii="Times New Roman" w:hAnsi="Times New Roman"/>
          <w:b w:val="0"/>
          <w:i/>
          <w:sz w:val="24"/>
        </w:rPr>
        <w:t>chi_square_analysis.py</w:t>
      </w:r>
      <w:r>
        <w:rPr>
          <w:rFonts w:ascii="Times New Roman" w:hAnsi="Times New Roman"/>
          <w:b w:val="0"/>
          <w:i w:val="0"/>
          <w:sz w:val="24"/>
        </w:rPr>
        <w:t xml:space="preserve"> (Python 3.11, SciPy 1.x) for the three statistical tests reported in Chapter 4. The complete script is available in the project directory.</w:t>
      </w:r>
    </w:p>
    <w:p>
      <w:pPr>
        <w:spacing w:before="0" w:after="120" w:line="240" w:lineRule="auto"/>
        <w:jc w:val="both"/>
      </w:pPr>
      <w:r>
        <w:rPr>
          <w:rFonts w:ascii="Times New Roman" w:hAnsi="Times New Roman"/>
          <w:b/>
          <w:i w:val="0"/>
          <w:sz w:val="24"/>
        </w:rPr>
        <w:t>Interpretation note:</w:t>
      </w:r>
      <w:r>
        <w:rPr>
          <w:rFonts w:ascii="Times New Roman" w:hAnsi="Times New Roman"/>
          <w:b w:val="0"/>
          <w:i w:val="0"/>
          <w:sz w:val="24"/>
        </w:rPr>
        <w:t xml:space="preserve"> All three tests produced non-significant results (P &gt; 0.05). The warnings regarding expected cell counts below 5 reflect the small number of confirmed </w:t>
      </w:r>
      <w:r>
        <w:rPr>
          <w:rFonts w:ascii="Times New Roman" w:hAnsi="Times New Roman"/>
          <w:b w:val="0"/>
          <w:i/>
          <w:sz w:val="24"/>
        </w:rPr>
        <w:t>E. coli</w:t>
      </w:r>
      <w:r>
        <w:rPr>
          <w:rFonts w:ascii="Times New Roman" w:hAnsi="Times New Roman"/>
          <w:b w:val="0"/>
          <w:i w:val="0"/>
          <w:sz w:val="24"/>
        </w:rPr>
        <w:t xml:space="preserve"> isolates per vendor location (2–11 isolates), which limits the statistical power of the chi-square test. Results should be interpreted with caution and are reported with this caveat in Chapter 4.</w:t>
      </w:r>
    </w:p>
    <w:sectPr w:rsidR="00FC693F" w:rsidRPr="0006063C" w:rsidSect="00034616">
      <w:footerReference w:type="default" r:id="rId10"/>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sz w:val="24"/>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