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F1E5" w14:textId="284EBAE7" w:rsidR="009E3724" w:rsidRDefault="009E3724" w:rsidP="009E37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3724">
        <w:rPr>
          <w:rFonts w:ascii="Times New Roman" w:hAnsi="Times New Roman" w:cs="Times New Roman"/>
          <w:sz w:val="24"/>
          <w:szCs w:val="24"/>
        </w:rPr>
        <w:t>Морфологический анализ динамики атрофических процессов в дерме при использовании гибридного комплекса гиалуроновой кислоты Hyon max soft line (матричный биобустер</w:t>
      </w:r>
      <w:r w:rsidRPr="009E372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BA15E0" w14:textId="77777777" w:rsidR="00B8775B" w:rsidRPr="00183FE7" w:rsidRDefault="00B877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79B72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t>Актуальность проблемы и обоснование исследования</w:t>
      </w:r>
      <w:r w:rsidRPr="00183FE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3775B">
        <w:rPr>
          <w:rFonts w:ascii="Times New Roman" w:hAnsi="Times New Roman" w:cs="Times New Roman"/>
          <w:sz w:val="24"/>
          <w:szCs w:val="24"/>
        </w:rPr>
        <w:t>В последние десятилетия наблюдается устойчивый рост интереса к изучению морфологических и функциональных изменений кожи при инволюционных процессах, что обусловлено как увеличением продолжительности жизни населения, так и повышением требований к качеству жизни и внешнему виду [1–3]. Дерма, являясь основным структурным компонентом кожи, обеспечивает её механическую прочность, эластичность и способность к восстановлению [1,3,4]. Ключевыми элементами дермального матрикса являются коллагеновые волокна (преимущественно I и III типов), эластин и гликозаминогликаны, включая гиалуроновую кислоту [1–3].</w:t>
      </w:r>
    </w:p>
    <w:p w14:paraId="1A433CFB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С возрастом и под воздействием экзогенных факторов (ультрафиолетовое излучение, оксидативный стресс, воспаление) происходят выраженные изменения внеклеточного матрикса дермы: уменьшается плотность и упорядоченность коллагеновых волокон, снижается содержание эластина, изменяется соотношение коллагенов I и III типов, что приводит к снижению упругости кожи и развитию атрофических процессов [3,5,6]. Особое значение имеет изменение соотношения Col III/Col I, отражающее процессы ремоделирования ткани и активность неоколлагенеза [7,8].</w:t>
      </w:r>
    </w:p>
    <w:p w14:paraId="2087377C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Современные методы эстетической медицины направлены на стимуляцию регенераторных процессов в дерме. Среди них значительное место занимает применение гиалуроновой кислоты (ГК), обладающей выраженными гидрофильными свойствами, способностью модулировать клеточную активность и участвовать в ремоделировании внеклеточного матрикса [4–6,9]. Особый интерес представляют гибридные комплексы, сочетающие низко- и высокомолекулярные фракции ГК, которые обеспечивают как быстрый гидратационный эффект, так и пролонгированную биостимуляцию [6,11,12].</w:t>
      </w:r>
    </w:p>
    <w:p w14:paraId="7E6862C4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Несмотря на наличие клинических и ультразвуковых данных, морфологическая оценка эффективности подобных препаратов, особенно с применением иммуногистохимических методов, остаётся недостаточно изученной [7,8,12,13]. В частности, ограничено количество работ, посвящённых количественной оценке изменений толщины дермальных слоёв, содержания эластических волокон и экспрессии коллагенов после применения гиалуроновой кислоты [7,8].</w:t>
      </w:r>
    </w:p>
    <w:p w14:paraId="05A1E76D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t>Научная новизна и значимость работы</w:t>
      </w:r>
      <w:r w:rsidRPr="00C3775B">
        <w:rPr>
          <w:rFonts w:ascii="Times New Roman" w:hAnsi="Times New Roman" w:cs="Times New Roman"/>
          <w:sz w:val="24"/>
          <w:szCs w:val="24"/>
        </w:rPr>
        <w:br/>
        <w:t>Данное исследование направлено на комплексный морфологический анализ дермы с использованием как классических гистологических, так и современных цифровых методов обработки изображений, а также иммуногистохимического анализа. Впервые планируется оценить влияние гибридного комплекса гиалуроновой кислоты на толщину сосочкового и сетчатого слоёв дермы [1,3,12], содержание эластических волокон [3,5], экспрессию коллагенов I и III типов [7,8,13], а также соотношение Col III/Col I как маркер ремоделирования дермы [7,8].</w:t>
      </w:r>
    </w:p>
    <w:p w14:paraId="2F37FB91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Полученные данные позволят углубить представления о механизмах действия гибридных форм гиалуроновой кислоты и обосновать их применение с морфологической точки зрения.</w:t>
      </w:r>
    </w:p>
    <w:p w14:paraId="11BAC1A5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Обоснование выбора методов исследования</w:t>
      </w:r>
      <w:r w:rsidRPr="00C3775B">
        <w:rPr>
          <w:rFonts w:ascii="Times New Roman" w:hAnsi="Times New Roman" w:cs="Times New Roman"/>
          <w:sz w:val="24"/>
          <w:szCs w:val="24"/>
        </w:rPr>
        <w:br/>
        <w:t>Выбор морфометрических и иммуногистохимических методов обусловлен необходимостью объективной оценки структурных изменений дермы.</w:t>
      </w:r>
    </w:p>
    <w:p w14:paraId="44A393DC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Морфометрия (измерение толщины дермальных слоёв):</w:t>
      </w:r>
      <w:r w:rsidRPr="00C3775B">
        <w:rPr>
          <w:rFonts w:ascii="Times New Roman" w:hAnsi="Times New Roman" w:cs="Times New Roman"/>
          <w:sz w:val="24"/>
          <w:szCs w:val="24"/>
        </w:rPr>
        <w:br/>
        <w:t>Измерение толщины сосочкового и сетчатого слоёв дермы в микрометрах позволяет количественно оценить степень атрофии или ремоделирования ткани. Данный показатель является чувствительным маркером возрастных изменений и эффективности терапевтического воздействия [3,12,14].</w:t>
      </w:r>
    </w:p>
    <w:p w14:paraId="526C2C3F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Оценка эластических волокон:</w:t>
      </w:r>
      <w:r w:rsidRPr="00C3775B">
        <w:rPr>
          <w:rFonts w:ascii="Times New Roman" w:hAnsi="Times New Roman" w:cs="Times New Roman"/>
          <w:sz w:val="24"/>
          <w:szCs w:val="24"/>
        </w:rPr>
        <w:br/>
        <w:t>Эластин играет ключевую роль в обеспечении упругости кожи. Его количественная и полуколичественная оценка позволяет повысить достоверность результатов и снизить субъективность интерпретации [3,5].</w:t>
      </w:r>
    </w:p>
    <w:p w14:paraId="1AEA581D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Иммуногистохимическое исследование коллагенов I и III типов:</w:t>
      </w:r>
      <w:r w:rsidRPr="00C3775B">
        <w:rPr>
          <w:rFonts w:ascii="Times New Roman" w:hAnsi="Times New Roman" w:cs="Times New Roman"/>
          <w:sz w:val="24"/>
          <w:szCs w:val="24"/>
        </w:rPr>
        <w:br/>
        <w:t>Коллаген I типа обеспечивает прочность ткани, тогда как коллаген III типа ассоциирован с процессами регенерации и ранними стадиями ремоделирования. Оценка их экспрессии и расчёт соотношения Col III/Col I позволяют судить о направлении морфогенетических процессов [7–9].</w:t>
      </w:r>
    </w:p>
    <w:p w14:paraId="2B43013D" w14:textId="706EFCA9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Использование программы ImageJ</w:t>
      </w:r>
      <w:r w:rsidR="00183FE7">
        <w:rPr>
          <w:rFonts w:ascii="Times New Roman" w:hAnsi="Times New Roman" w:cs="Times New Roman"/>
          <w:sz w:val="24"/>
          <w:szCs w:val="24"/>
        </w:rPr>
        <w:t xml:space="preserve"> и </w:t>
      </w:r>
      <w:r w:rsidR="00183FE7">
        <w:rPr>
          <w:rFonts w:ascii="Times New Roman" w:hAnsi="Times New Roman" w:cs="Times New Roman"/>
          <w:sz w:val="24"/>
          <w:szCs w:val="24"/>
          <w:lang w:val="en-US"/>
        </w:rPr>
        <w:t>NDP</w:t>
      </w:r>
      <w:r w:rsidR="00183FE7" w:rsidRPr="00183FE7">
        <w:rPr>
          <w:rFonts w:ascii="Times New Roman" w:hAnsi="Times New Roman" w:cs="Times New Roman"/>
          <w:sz w:val="24"/>
          <w:szCs w:val="24"/>
        </w:rPr>
        <w:t xml:space="preserve"> </w:t>
      </w:r>
      <w:r w:rsidR="00183FE7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C3775B">
        <w:rPr>
          <w:rFonts w:ascii="Times New Roman" w:hAnsi="Times New Roman" w:cs="Times New Roman"/>
          <w:sz w:val="24"/>
          <w:szCs w:val="24"/>
        </w:rPr>
        <w:br/>
        <w:t>Применение цифрового анализа изображений обеспечивает объективность количественных измерений, воспроизводимость результатов и возможность стандартизации данных [7,8,15].</w:t>
      </w:r>
    </w:p>
    <w:p w14:paraId="64789C46" w14:textId="39130968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02101029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t>Практическая значимость</w:t>
      </w:r>
      <w:r w:rsidRPr="00C3775B">
        <w:rPr>
          <w:rFonts w:ascii="Times New Roman" w:hAnsi="Times New Roman" w:cs="Times New Roman"/>
          <w:sz w:val="24"/>
          <w:szCs w:val="24"/>
        </w:rPr>
        <w:br/>
        <w:t>Результаты исследования могут быть использованы для морфологического обоснования применения гибридных биобустеров, оптимизации протоколов эстетической терапии и разработки объективных критериев оценки эффективности антивозрастных вмешательств.</w:t>
      </w:r>
    </w:p>
    <w:p w14:paraId="7EAA03C5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7E97A117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56B5B57C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69B7E0EA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3FBE1E20" w14:textId="77777777" w:rsidR="00183FE7" w:rsidRDefault="00183FE7" w:rsidP="00C3775B">
      <w:pPr>
        <w:rPr>
          <w:rFonts w:ascii="Times New Roman" w:hAnsi="Times New Roman" w:cs="Times New Roman"/>
          <w:sz w:val="24"/>
          <w:szCs w:val="24"/>
        </w:rPr>
      </w:pPr>
    </w:p>
    <w:p w14:paraId="5A73DA43" w14:textId="77777777" w:rsidR="00183FE7" w:rsidRDefault="00183FE7" w:rsidP="00C3775B">
      <w:pPr>
        <w:rPr>
          <w:rFonts w:ascii="Times New Roman" w:hAnsi="Times New Roman" w:cs="Times New Roman"/>
          <w:sz w:val="24"/>
          <w:szCs w:val="24"/>
        </w:rPr>
      </w:pPr>
    </w:p>
    <w:p w14:paraId="0CFC1F2D" w14:textId="77777777" w:rsidR="00183FE7" w:rsidRDefault="00183FE7" w:rsidP="00C3775B">
      <w:pPr>
        <w:rPr>
          <w:rFonts w:ascii="Times New Roman" w:hAnsi="Times New Roman" w:cs="Times New Roman"/>
          <w:sz w:val="24"/>
          <w:szCs w:val="24"/>
        </w:rPr>
      </w:pPr>
    </w:p>
    <w:p w14:paraId="7D65F217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28384636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65D30EE4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2FEC951C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693F5202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3D47A226" w14:textId="60859BA1" w:rsidR="00C3775B" w:rsidRPr="00183FE7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lastRenderedPageBreak/>
        <w:t>Список</w:t>
      </w:r>
      <w:r w:rsidRPr="00183FE7">
        <w:rPr>
          <w:rFonts w:ascii="Times New Roman" w:hAnsi="Times New Roman" w:cs="Times New Roman"/>
          <w:sz w:val="24"/>
          <w:szCs w:val="24"/>
        </w:rPr>
        <w:t xml:space="preserve"> </w:t>
      </w:r>
      <w:r w:rsidRPr="00C3775B">
        <w:rPr>
          <w:rFonts w:ascii="Times New Roman" w:hAnsi="Times New Roman" w:cs="Times New Roman"/>
          <w:sz w:val="24"/>
          <w:szCs w:val="24"/>
        </w:rPr>
        <w:t>литературы</w:t>
      </w:r>
      <w:r w:rsidR="00183FE7" w:rsidRPr="00183FE7">
        <w:rPr>
          <w:rFonts w:ascii="Times New Roman" w:hAnsi="Times New Roman" w:cs="Times New Roman"/>
          <w:sz w:val="24"/>
          <w:szCs w:val="24"/>
        </w:rPr>
        <w:t xml:space="preserve"> (</w:t>
      </w:r>
      <w:r w:rsidR="00183FE7">
        <w:rPr>
          <w:rFonts w:ascii="Times New Roman" w:hAnsi="Times New Roman" w:cs="Times New Roman"/>
          <w:sz w:val="24"/>
          <w:szCs w:val="24"/>
        </w:rPr>
        <w:t>еще</w:t>
      </w:r>
      <w:r w:rsidR="00183FE7" w:rsidRPr="00183FE7">
        <w:rPr>
          <w:rFonts w:ascii="Times New Roman" w:hAnsi="Times New Roman" w:cs="Times New Roman"/>
          <w:sz w:val="24"/>
          <w:szCs w:val="24"/>
        </w:rPr>
        <w:t xml:space="preserve"> </w:t>
      </w:r>
      <w:r w:rsidR="00183FE7">
        <w:rPr>
          <w:rFonts w:ascii="Times New Roman" w:hAnsi="Times New Roman" w:cs="Times New Roman"/>
          <w:sz w:val="24"/>
          <w:szCs w:val="24"/>
        </w:rPr>
        <w:t>добавлю русские источники и оформлю)</w:t>
      </w:r>
    </w:p>
    <w:p w14:paraId="7ED80E71" w14:textId="77777777" w:rsidR="00C3775B" w:rsidRPr="00183FE7" w:rsidRDefault="00C3775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5" w:history="1">
        <w:r w:rsidRPr="00C3775B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Dermal extracellular matrix molecules in skin development, homeostasis, wound regeneration and diseases - PubMed</w:t>
        </w:r>
      </w:hyperlink>
    </w:p>
    <w:p w14:paraId="760C0829" w14:textId="77777777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6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Time-Resolved Extracellular Matrix Atlas of the Developing Human Skin Dermis - PubMed</w:t>
        </w:r>
      </w:hyperlink>
    </w:p>
    <w:p w14:paraId="7D5D604B" w14:textId="77777777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7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Alterations in extracellular matrix composition during aging and photoaging of the skin - PubMed</w:t>
        </w:r>
      </w:hyperlink>
    </w:p>
    <w:p w14:paraId="7E0772BB" w14:textId="78CC12C4" w:rsidR="00C3775B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8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The Degradatio</w:t>
        </w:r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n</w:t>
        </w:r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of Hyaluronan in the Skin - PMC</w:t>
        </w:r>
      </w:hyperlink>
      <w:r w:rsidR="00C3775B" w:rsidRPr="00C37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55CFF4BB" w14:textId="496A6F3D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9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 green-based approach for noninvasive skin rejuvenation: Potential application of hyaluronic acid - PubMed</w:t>
        </w:r>
      </w:hyperlink>
    </w:p>
    <w:p w14:paraId="1E52E43E" w14:textId="326D3860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0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Skin biostimulation and hyaluronic acid: Current knowledge and new evidence - PubMed</w:t>
        </w:r>
      </w:hyperlink>
    </w:p>
    <w:p w14:paraId="1F775896" w14:textId="13336AD6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1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 Case Series Report on Superficial Application of Polydensified Cohesive Matrix Hyaluronic Acid Through Biopsies</w:t>
        </w:r>
      </w:hyperlink>
    </w:p>
    <w:p w14:paraId="007A3042" w14:textId="00D203F3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2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In Vitro Evaluation of the Effects of Multipoint Hyaluronic Acid‐Based Intradermal Fillers on Skin Quality Using a Novel 3D Reconstructed Skin Aging Model - Albouy - 2025 - Journal of Cosmetic Dermatology - Wiley Online Library</w:t>
        </w:r>
      </w:hyperlink>
    </w:p>
    <w:p w14:paraId="124BD7A8" w14:textId="070C5BD1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3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Skin Cell and Tissue Responses to Cross-Linked Hyaluronic Acid in Low-Grade Inflammatory Conditions - PubMed</w:t>
        </w:r>
      </w:hyperlink>
    </w:p>
    <w:p w14:paraId="35D2BE6B" w14:textId="28B5531E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4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Effect of Hyaluronan in Collagen Biomaterials on Human Macrophages and Fibroblasts In Vitro</w:t>
        </w:r>
      </w:hyperlink>
    </w:p>
    <w:p w14:paraId="05531A1E" w14:textId="4E5528C1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5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Efficacy and Safety of Amino Acid-Enriched Hyaluronic Acid in Facial Rejuvenation: A Systematic Review and Meta-Analysis - PubMed</w:t>
        </w:r>
      </w:hyperlink>
    </w:p>
    <w:p w14:paraId="1FDBD6F5" w14:textId="50D6D0B0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6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Hyaluronic Acid and Calcium Hydroxyapatite in the Context of Hypertrophic Photoaging. Evaluation by 2D, 3D Photographs and Reflectance Confocal Microscopy (RCM) - PubMed</w:t>
        </w:r>
      </w:hyperlink>
    </w:p>
    <w:p w14:paraId="1CF34999" w14:textId="0E4E287C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7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Hyaluronic acid-fibrin hydrogels show improved mechanical stability in dermo-epidermal skin substitutes - ScienceDirect</w:t>
        </w:r>
      </w:hyperlink>
    </w:p>
    <w:p w14:paraId="5F2C0649" w14:textId="4637D7F8" w:rsid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8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Effects of hyaluronic acid with different molecular weights and concentrations on skin optical clearing and collagen fibril structural characteristics - ScienceDirect</w:t>
        </w:r>
      </w:hyperlink>
    </w:p>
    <w:p w14:paraId="2A226888" w14:textId="0C253FBF" w:rsidR="00183FE7" w:rsidRPr="00183FE7" w:rsidRDefault="00183FE7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9" w:history="1">
        <w:r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Absolute Quantification and Spatial Mapping of Hyaluronic Acid in Histological Tissue Sections | ACS Measurement Science Au</w:t>
        </w:r>
      </w:hyperlink>
    </w:p>
    <w:p w14:paraId="10623B03" w14:textId="77777777" w:rsidR="00C3775B" w:rsidRPr="00C3775B" w:rsidRDefault="00C3775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3775B" w:rsidRPr="00C37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4E5"/>
    <w:multiLevelType w:val="multilevel"/>
    <w:tmpl w:val="3D2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4D47"/>
    <w:multiLevelType w:val="multilevel"/>
    <w:tmpl w:val="A9A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D6198"/>
    <w:multiLevelType w:val="multilevel"/>
    <w:tmpl w:val="817C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87781"/>
    <w:multiLevelType w:val="multilevel"/>
    <w:tmpl w:val="A3DE29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93234"/>
    <w:multiLevelType w:val="multilevel"/>
    <w:tmpl w:val="63E0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E6D81"/>
    <w:multiLevelType w:val="multilevel"/>
    <w:tmpl w:val="7170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847092">
    <w:abstractNumId w:val="0"/>
  </w:num>
  <w:num w:numId="2" w16cid:durableId="880751642">
    <w:abstractNumId w:val="4"/>
  </w:num>
  <w:num w:numId="3" w16cid:durableId="830172728">
    <w:abstractNumId w:val="1"/>
  </w:num>
  <w:num w:numId="4" w16cid:durableId="1999259441">
    <w:abstractNumId w:val="2"/>
  </w:num>
  <w:num w:numId="5" w16cid:durableId="856772368">
    <w:abstractNumId w:val="5"/>
  </w:num>
  <w:num w:numId="6" w16cid:durableId="2136562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24"/>
    <w:rsid w:val="000B2470"/>
    <w:rsid w:val="00183FE7"/>
    <w:rsid w:val="0056676E"/>
    <w:rsid w:val="009E3724"/>
    <w:rsid w:val="00B8775B"/>
    <w:rsid w:val="00C23713"/>
    <w:rsid w:val="00C3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D62B"/>
  <w15:chartTrackingRefBased/>
  <w15:docId w15:val="{E428DBED-7E2A-4F56-9F77-E25A9988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37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37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3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3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3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3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3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3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37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37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3724"/>
    <w:rPr>
      <w:b/>
      <w:bCs/>
      <w:smallCaps/>
      <w:color w:val="0F4761" w:themeColor="accent1" w:themeShade="BF"/>
      <w:spacing w:val="5"/>
    </w:rPr>
  </w:style>
  <w:style w:type="character" w:styleId="ac">
    <w:name w:val="Emphasis"/>
    <w:basedOn w:val="a0"/>
    <w:uiPriority w:val="20"/>
    <w:qFormat/>
    <w:rsid w:val="00C3775B"/>
    <w:rPr>
      <w:i/>
      <w:iCs/>
    </w:rPr>
  </w:style>
  <w:style w:type="character" w:styleId="ad">
    <w:name w:val="Hyperlink"/>
    <w:basedOn w:val="a0"/>
    <w:uiPriority w:val="99"/>
    <w:unhideWhenUsed/>
    <w:rsid w:val="00C3775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3775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83F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8961566/?utm_source=chatgpt.com" TargetMode="External"/><Relationship Id="rId13" Type="http://schemas.openxmlformats.org/officeDocument/2006/relationships/hyperlink" Target="https://pubmed.ncbi.nlm.nih.gov/37663889/" TargetMode="External"/><Relationship Id="rId18" Type="http://schemas.openxmlformats.org/officeDocument/2006/relationships/hyperlink" Target="https://www.sciencedirect.com/science/article/pii/S0141813025055072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ubmed.ncbi.nlm.nih.gov/33543036/" TargetMode="External"/><Relationship Id="rId12" Type="http://schemas.openxmlformats.org/officeDocument/2006/relationships/hyperlink" Target="https://onlinelibrary.wiley.com/doi/full/10.1111/jocd.70362?utm_source=chatgpt.com" TargetMode="External"/><Relationship Id="rId17" Type="http://schemas.openxmlformats.org/officeDocument/2006/relationships/hyperlink" Target="https://www.sciencedirect.com/science/article/pii/S0928493121004926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9340192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4901026/" TargetMode="External"/><Relationship Id="rId11" Type="http://schemas.openxmlformats.org/officeDocument/2006/relationships/hyperlink" Target="https://www.mdpi.com/2079-9284/12/1/13?utm_source=chatgpt.com" TargetMode="External"/><Relationship Id="rId5" Type="http://schemas.openxmlformats.org/officeDocument/2006/relationships/hyperlink" Target="https://pubmed.ncbi.nlm.nih.gov/35339360/" TargetMode="External"/><Relationship Id="rId15" Type="http://schemas.openxmlformats.org/officeDocument/2006/relationships/hyperlink" Target="https://pubmed.ncbi.nlm.nih.gov/41724989/" TargetMode="External"/><Relationship Id="rId10" Type="http://schemas.openxmlformats.org/officeDocument/2006/relationships/hyperlink" Target="https://pubmed.ncbi.nlm.nih.gov/38140737/" TargetMode="External"/><Relationship Id="rId19" Type="http://schemas.openxmlformats.org/officeDocument/2006/relationships/hyperlink" Target="https://pubs.acs.org/doi/10.1021/acsmeasuresciau.5c00138?goto=supporting-info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7343757/" TargetMode="External"/><Relationship Id="rId14" Type="http://schemas.openxmlformats.org/officeDocument/2006/relationships/hyperlink" Target="https://www.mdpi.com/2079-4983/16/5/167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Мухамед Альжанов</dc:creator>
  <cp:keywords/>
  <dc:description/>
  <cp:lastModifiedBy>Мухамед Альжанов</cp:lastModifiedBy>
  <cp:revision>2</cp:revision>
  <dcterms:created xsi:type="dcterms:W3CDTF">2026-06-15T08:06:00Z</dcterms:created>
  <dcterms:modified xsi:type="dcterms:W3CDTF">2026-06-15T08:06:00Z</dcterms:modified>
</cp:coreProperties>
</file>