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E8667" w14:textId="1F1AB0BC" w:rsidR="00E34650" w:rsidRDefault="00B0262D" w:rsidP="00B0262D">
      <w:pPr>
        <w:ind w:firstLine="720"/>
      </w:pPr>
      <w:r w:rsidRPr="00B0262D">
        <w:t>A fundamental challenge for sensory systems is to represent environmental information efficiently using limited coding resources.</w:t>
      </w:r>
      <w:r w:rsidR="006068A1" w:rsidRPr="006068A1">
        <w:t xml:space="preserve"> </w:t>
      </w:r>
      <w:r w:rsidR="00FC5B4E" w:rsidRPr="00FC5B4E">
        <w:t xml:space="preserve">One influential proposal is the efficient coding hypothesis, which holds that sensory systems are adapted to produce efficient representations of </w:t>
      </w:r>
      <w:r w:rsidR="004B256E">
        <w:t>the</w:t>
      </w:r>
      <w:r w:rsidR="00D83486">
        <w:t>ir</w:t>
      </w:r>
      <w:r w:rsidR="00FC5B4E" w:rsidRPr="00FC5B4E">
        <w:t xml:space="preserve"> environment</w:t>
      </w:r>
      <w:r w:rsidR="004B256E">
        <w:t xml:space="preserve"> </w:t>
      </w:r>
      <w:r w:rsidR="00F359E6">
        <w:t>under</w:t>
      </w:r>
      <w:r w:rsidR="001E7E91">
        <w:t xml:space="preserve"> biological constraints </w:t>
      </w:r>
      <w:r w:rsidR="00A671C9">
        <w:t>(</w:t>
      </w:r>
      <w:r w:rsidR="001E7E91" w:rsidRPr="001E7E91">
        <w:t>Julijana Gjorgjieva</w:t>
      </w:r>
      <w:r w:rsidR="001E7E91">
        <w:t xml:space="preserve"> et al? </w:t>
      </w:r>
      <w:r w:rsidR="004B256E">
        <w:t>201</w:t>
      </w:r>
      <w:r w:rsidR="001E7E91">
        <w:t>9</w:t>
      </w:r>
      <w:r w:rsidR="00A671C9">
        <w:t>)</w:t>
      </w:r>
      <w:r w:rsidR="00FC5B4E" w:rsidRPr="00FC5B4E">
        <w:t>.</w:t>
      </w:r>
      <w:r w:rsidR="00FC5B4E">
        <w:t xml:space="preserve"> </w:t>
      </w:r>
      <w:r w:rsidR="006068A1" w:rsidRPr="006068A1">
        <w:t xml:space="preserve">Classic quantitative work has shown how neural response properties can be </w:t>
      </w:r>
      <w:r w:rsidR="00E34650">
        <w:t xml:space="preserve">efficiently </w:t>
      </w:r>
      <w:r w:rsidR="006068A1" w:rsidRPr="006068A1">
        <w:t>matched to stimulus distributions</w:t>
      </w:r>
      <w:r w:rsidR="00A671C9">
        <w:t xml:space="preserve"> (</w:t>
      </w:r>
      <w:r w:rsidR="004B256E">
        <w:t>Laughlin 1981</w:t>
      </w:r>
      <w:r w:rsidR="00A671C9">
        <w:t>)</w:t>
      </w:r>
      <w:r w:rsidR="006068A1" w:rsidRPr="006068A1">
        <w:t xml:space="preserve">. However, many such treatments assume a stationary environment, </w:t>
      </w:r>
      <w:r w:rsidR="005E276E">
        <w:t>in which</w:t>
      </w:r>
      <w:r w:rsidR="006068A1" w:rsidRPr="006068A1">
        <w:t xml:space="preserve"> input statistics remain fixed over time. </w:t>
      </w:r>
    </w:p>
    <w:p w14:paraId="37B704F5" w14:textId="5A72B36B" w:rsidR="003736CB" w:rsidRDefault="006068A1" w:rsidP="008255F5">
      <w:pPr>
        <w:ind w:firstLine="720"/>
      </w:pPr>
      <w:r w:rsidRPr="006068A1">
        <w:t>Młynarski and Hermundstad extended this perspective to dynamic environments, asking how sensory systems should adapt their codes when context changes while encoding resources remain limited.</w:t>
      </w:r>
      <w:r w:rsidR="000A0CD9">
        <w:t xml:space="preserve"> </w:t>
      </w:r>
      <w:r w:rsidR="00987C76" w:rsidRPr="00987C76">
        <w:t>This problem is important because natural environments are not stationary, and sensory systems must continually adapt to changing input statistics</w:t>
      </w:r>
      <w:r w:rsidR="00987C76">
        <w:t xml:space="preserve"> </w:t>
      </w:r>
      <w:r w:rsidR="00E70690">
        <w:t>(</w:t>
      </w:r>
      <w:r w:rsidR="00B762D0">
        <w:t>Adrian 1926</w:t>
      </w:r>
      <w:r w:rsidR="00FE1419">
        <w:t xml:space="preserve"> 31f1</w:t>
      </w:r>
      <w:r w:rsidR="00E70690">
        <w:t>)</w:t>
      </w:r>
      <w:r w:rsidR="00EF4A68">
        <w:t xml:space="preserve">. </w:t>
      </w:r>
      <w:r w:rsidR="00F204D1" w:rsidRPr="006068A1">
        <w:t>Młynarski and Hermundstad</w:t>
      </w:r>
      <w:r w:rsidR="00F204D1">
        <w:t xml:space="preserve"> </w:t>
      </w:r>
      <w:r w:rsidR="002A5CDC">
        <w:t xml:space="preserve">study this problem in a normative framework </w:t>
      </w:r>
      <w:r w:rsidR="007F01AB">
        <w:t>where a sensory system must</w:t>
      </w:r>
      <w:r w:rsidR="00541682">
        <w:t xml:space="preserve"> infer </w:t>
      </w:r>
      <w:r w:rsidR="00171BF4">
        <w:t>its</w:t>
      </w:r>
      <w:r w:rsidR="00541682">
        <w:t xml:space="preserve"> environmental context </w:t>
      </w:r>
      <w:r w:rsidR="00171BF4">
        <w:t xml:space="preserve">and </w:t>
      </w:r>
      <w:r w:rsidR="007F01AB">
        <w:t>adapt its encoding</w:t>
      </w:r>
      <w:r w:rsidR="00171BF4">
        <w:t xml:space="preserve"> accordingly.</w:t>
      </w:r>
      <w:r w:rsidR="00B51734">
        <w:t xml:space="preserve"> Because</w:t>
      </w:r>
      <w:r w:rsidR="00E92530">
        <w:t xml:space="preserve"> </w:t>
      </w:r>
      <w:r w:rsidR="007B3CA7">
        <w:t>context estimates are imperfect</w:t>
      </w:r>
      <w:r w:rsidR="00B6652A">
        <w:t xml:space="preserve">, the system </w:t>
      </w:r>
      <w:r w:rsidR="00F634F7">
        <w:t xml:space="preserve">is </w:t>
      </w:r>
      <w:r w:rsidR="00B6652A">
        <w:t>sometimes</w:t>
      </w:r>
      <w:r w:rsidR="007B3CA7">
        <w:t xml:space="preserve"> </w:t>
      </w:r>
      <w:r w:rsidR="00B6652A">
        <w:t>matched to</w:t>
      </w:r>
      <w:r w:rsidR="007B3CA7">
        <w:t xml:space="preserve"> the </w:t>
      </w:r>
      <w:r w:rsidR="00C248B1">
        <w:t>true</w:t>
      </w:r>
      <w:r w:rsidR="007B3CA7">
        <w:t xml:space="preserve"> context</w:t>
      </w:r>
      <w:r w:rsidR="00B6652A">
        <w:t xml:space="preserve"> and sometimes mismatched</w:t>
      </w:r>
      <w:r w:rsidR="00B62983">
        <w:t xml:space="preserve">. </w:t>
      </w:r>
      <w:r w:rsidR="00CE5C74">
        <w:t>G</w:t>
      </w:r>
      <w:r w:rsidR="00CE5C74" w:rsidRPr="00CE5C74">
        <w:t>lobal error can be</w:t>
      </w:r>
      <w:r w:rsidR="004D0652">
        <w:t xml:space="preserve"> fully</w:t>
      </w:r>
      <w:r w:rsidR="00CE5C74" w:rsidRPr="00CE5C74">
        <w:t xml:space="preserve"> decomposed into matched and mismatched contributions</w:t>
      </w:r>
      <w:r w:rsidR="004D0652" w:rsidRPr="004D0652">
        <w:t>, with the mismatched contribution depending on both mismatch duration and mismatched error rate</w:t>
      </w:r>
      <w:r w:rsidR="004236D2">
        <w:t xml:space="preserve">. </w:t>
      </w:r>
      <w:r w:rsidR="00362F13">
        <w:t>A</w:t>
      </w:r>
      <w:r w:rsidR="005F13E9">
        <w:t>s a result, a</w:t>
      </w:r>
      <w:r w:rsidR="00362F13">
        <w:t xml:space="preserve"> code that is locally optimal for the currently estimated context need not minimize </w:t>
      </w:r>
      <w:r w:rsidR="008329D0">
        <w:t xml:space="preserve">long-run </w:t>
      </w:r>
      <w:r w:rsidR="00362F13">
        <w:t xml:space="preserve">global error because </w:t>
      </w:r>
      <w:r w:rsidR="00E178AB">
        <w:t xml:space="preserve">the estimated context </w:t>
      </w:r>
      <w:r w:rsidR="00C248B1">
        <w:t>may</w:t>
      </w:r>
      <w:r w:rsidR="00E178AB">
        <w:t xml:space="preserve"> be misaligned with the </w:t>
      </w:r>
      <w:r w:rsidR="00C248B1">
        <w:t>true</w:t>
      </w:r>
      <w:r w:rsidR="00E178AB">
        <w:t xml:space="preserve"> context</w:t>
      </w:r>
      <w:r w:rsidR="008329D0">
        <w:t xml:space="preserve">. </w:t>
      </w:r>
    </w:p>
    <w:p w14:paraId="69C210DB" w14:textId="5D90F300" w:rsidR="006B1B60" w:rsidRDefault="009E31D6" w:rsidP="0018314C">
      <w:r w:rsidRPr="009E31D6">
        <w:t xml:space="preserve">The central question in this project is how switching constraints alter performance </w:t>
      </w:r>
      <w:r w:rsidR="002C1C35">
        <w:t>when</w:t>
      </w:r>
      <w:r w:rsidRPr="009E31D6">
        <w:t xml:space="preserve"> context must be inferred online.</w:t>
      </w:r>
      <w:r>
        <w:t xml:space="preserve"> </w:t>
      </w:r>
      <w:r w:rsidR="005C05F9">
        <w:t xml:space="preserve">In this paper, </w:t>
      </w:r>
      <w:r w:rsidR="005C05F9" w:rsidRPr="005C05F9">
        <w:t>I study a simplified two-context, one-neuron model of adaptive efficient coding in which context is inferred from noisy responses</w:t>
      </w:r>
      <w:r w:rsidR="00277790">
        <w:t xml:space="preserve">. </w:t>
      </w:r>
      <w:r w:rsidR="006B1B60" w:rsidRPr="006B1B60">
        <w:t xml:space="preserve">Rather than assuming immediate adoption of the inferred context, I compare two conservative switching rules, hysteresis and refractory lockout. </w:t>
      </w:r>
      <w:r w:rsidR="009C769F" w:rsidRPr="009C769F">
        <w:t>Hysteresis is used here as a simple model of stability, consistent with work showing that previous perceptual decisions can be maintained when current sensory evidence is weak</w:t>
      </w:r>
      <w:r w:rsidR="004C5E4D">
        <w:t xml:space="preserve"> (</w:t>
      </w:r>
      <w:r w:rsidR="004C5E4D" w:rsidRPr="006B1B60">
        <w:t>Thiel et al., 2014</w:t>
      </w:r>
      <w:r w:rsidR="004C5E4D">
        <w:t>)</w:t>
      </w:r>
      <w:r w:rsidR="001D3BCA" w:rsidRPr="001D3BCA">
        <w:t>.</w:t>
      </w:r>
      <w:r w:rsidR="006B1B60" w:rsidRPr="006B1B60">
        <w:t xml:space="preserve"> Refractory lockout is included as a simple model of the reduced responsiveness that follows recent neural activity</w:t>
      </w:r>
      <w:r w:rsidR="004C5E4D">
        <w:t xml:space="preserve"> (</w:t>
      </w:r>
      <w:r w:rsidR="006B1B60" w:rsidRPr="006B1B60">
        <w:t>Avissar et al., 2013; Song et al., 2017).</w:t>
      </w:r>
    </w:p>
    <w:p w14:paraId="0BB0E907" w14:textId="1AEDD855" w:rsidR="00584F67" w:rsidRDefault="00584F67" w:rsidP="003A2EF2"/>
    <w:p w14:paraId="3C092251" w14:textId="77777777" w:rsidR="00244792" w:rsidRPr="00244792" w:rsidRDefault="00244792" w:rsidP="00244792">
      <w:r w:rsidRPr="00244792">
        <w:t xml:space="preserve">  Model and Methods </w:t>
      </w:r>
    </w:p>
    <w:p w14:paraId="45765A0A" w14:textId="77777777" w:rsidR="00244792" w:rsidRPr="00244792" w:rsidRDefault="00244792" w:rsidP="00244792">
      <w:r w:rsidRPr="00244792">
        <w:t xml:space="preserve">  Environment </w:t>
      </w:r>
    </w:p>
    <w:p w14:paraId="6868F896" w14:textId="77777777" w:rsidR="00244792" w:rsidRPr="00244792" w:rsidRDefault="00244792" w:rsidP="00244792">
      <w:r w:rsidRPr="00244792">
        <w:t xml:space="preserve">  Encoder and decoder </w:t>
      </w:r>
    </w:p>
    <w:p w14:paraId="1E159339" w14:textId="77777777" w:rsidR="00244792" w:rsidRPr="00244792" w:rsidRDefault="00244792" w:rsidP="00244792">
      <w:r w:rsidRPr="00244792">
        <w:t xml:space="preserve">  Local codebook </w:t>
      </w:r>
    </w:p>
    <w:p w14:paraId="3CBDA76E" w14:textId="77777777" w:rsidR="00244792" w:rsidRPr="00244792" w:rsidRDefault="00244792" w:rsidP="00244792">
      <w:r w:rsidRPr="00244792">
        <w:t xml:space="preserve">  Switching rules </w:t>
      </w:r>
    </w:p>
    <w:p w14:paraId="037A4F3D" w14:textId="77777777" w:rsidR="00991208" w:rsidRDefault="00244792" w:rsidP="00244792">
      <w:r w:rsidRPr="00244792">
        <w:t>  Metrics</w:t>
      </w:r>
    </w:p>
    <w:p w14:paraId="01C9299A" w14:textId="5EABE4ED" w:rsidR="00E439B1" w:rsidRDefault="008B4982" w:rsidP="00244792">
      <w:r w:rsidRPr="008B4982">
        <w:lastRenderedPageBreak/>
        <w:t xml:space="preserve">Similar to Młynarski and Hermundstad, the stimulus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eastAsiaTheme="minorEastAsia"/>
        </w:rPr>
        <w:t xml:space="preserve"> </w:t>
      </w:r>
      <w:r w:rsidRPr="008B4982">
        <w:t>is sampled from a normal distribution whose mean and variance depend on the current context:</w:t>
      </w:r>
    </w:p>
    <w:p w14:paraId="04E22D1A" w14:textId="3D3B2447" w:rsidR="003D38EC" w:rsidRPr="00BE6A8A" w:rsidRDefault="003D38EC" w:rsidP="008B4982">
      <w:pPr>
        <w:rPr>
          <w:rFonts w:eastAsiaTheme="minorEastAsia"/>
          <w:lang w:val=""/>
        </w:rPr>
      </w:pPr>
      <m:oMathPara>
        <m:oMath>
          <m:sSub>
            <m:sSubPr>
              <m:ctrlPr>
                <w:rPr>
                  <w:rFonts w:ascii="Cambria Math" w:hAnsi="Cambria Math"/>
                  <w:lang w:val=""/>
                </w:rPr>
              </m:ctrlPr>
            </m:sSubPr>
            <m:e>
              <m:r>
                <w:rPr>
                  <w:rFonts w:ascii="Cambria Math" w:hAnsi="Cambria Math"/>
                  <w:lang w:val=""/>
                </w:rPr>
                <m:t>X</m:t>
              </m:r>
            </m:e>
            <m:sub>
              <m:r>
                <w:rPr>
                  <w:rFonts w:ascii="Cambria Math" w:hAnsi="Cambria Math"/>
                  <w:lang w:val=""/>
                </w:rPr>
                <m:t>t</m:t>
              </m:r>
            </m:sub>
          </m:sSub>
          <m:r>
            <m:rPr>
              <m:sty m:val="p"/>
            </m:rPr>
            <w:rPr>
              <w:rFonts w:ascii="Cambria Math" w:hAnsi="Cambria Math"/>
              <w:lang w:val=""/>
            </w:rPr>
            <m:t>∣</m:t>
          </m:r>
          <m:sSub>
            <m:sSubPr>
              <m:ctrlPr>
                <w:rPr>
                  <w:rFonts w:ascii="Cambria Math" w:hAnsi="Cambria Math"/>
                  <w:lang w:val=""/>
                </w:rPr>
              </m:ctrlPr>
            </m:sSubPr>
            <m:e>
              <m:r>
                <w:rPr>
                  <w:rFonts w:ascii="Cambria Math" w:hAnsi="Cambria Math"/>
                  <w:lang w:val=""/>
                </w:rPr>
                <m:t>C</m:t>
              </m:r>
            </m:e>
            <m:sub>
              <m:r>
                <w:rPr>
                  <w:rFonts w:ascii="Cambria Math" w:hAnsi="Cambria Math"/>
                  <w:lang w:val=""/>
                </w:rPr>
                <m:t>t</m:t>
              </m:r>
            </m:sub>
          </m:sSub>
          <m:r>
            <m:rPr>
              <m:sty m:val="p"/>
            </m:rPr>
            <w:rPr>
              <w:rFonts w:ascii="Cambria Math" w:hAnsi="Cambria Math"/>
              <w:lang w:val=""/>
            </w:rPr>
            <m:t>=</m:t>
          </m:r>
          <m:r>
            <w:rPr>
              <w:rFonts w:ascii="Cambria Math" w:hAnsi="Cambria Math"/>
              <w:lang w:val=""/>
            </w:rPr>
            <m:t>c</m:t>
          </m:r>
          <m:r>
            <m:rPr>
              <m:scr m:val="script"/>
              <m:sty m:val="p"/>
            </m:rPr>
            <w:rPr>
              <w:rFonts w:ascii="Cambria Math" w:hAnsi="Cambria Math"/>
              <w:lang w:val=""/>
            </w:rPr>
            <m:t>∼N</m:t>
          </m:r>
          <m:d>
            <m:dPr>
              <m:sepChr m:val=","/>
              <m:ctrlPr>
                <w:rPr>
                  <w:rFonts w:ascii="Cambria Math" w:hAnsi="Cambria Math"/>
                  <w:lang w:val=""/>
                </w:rPr>
              </m:ctrlPr>
            </m:dPr>
            <m:e>
              <m:sSub>
                <m:sSubPr>
                  <m:ctrlPr>
                    <w:rPr>
                      <w:rFonts w:ascii="Cambria Math" w:hAnsi="Cambria Math"/>
                      <w:lang w:val=""/>
                    </w:rPr>
                  </m:ctrlPr>
                </m:sSubPr>
                <m:e>
                  <m:r>
                    <w:rPr>
                      <w:rFonts w:ascii="Cambria Math" w:hAnsi="Cambria Math"/>
                      <w:lang w:val=""/>
                    </w:rPr>
                    <m:t>μ</m:t>
                  </m:r>
                </m:e>
                <m:sub>
                  <m:r>
                    <w:rPr>
                      <w:rFonts w:ascii="Cambria Math" w:hAnsi="Cambria Math"/>
                      <w:lang w:val=""/>
                    </w:rPr>
                    <m:t>c</m:t>
                  </m:r>
                </m:sub>
              </m:sSub>
            </m:e>
            <m:e>
              <m:sSubSup>
                <m:sSubSupPr>
                  <m:ctrlPr>
                    <w:rPr>
                      <w:rFonts w:ascii="Cambria Math" w:hAnsi="Cambria Math"/>
                      <w:lang w:val=""/>
                    </w:rPr>
                  </m:ctrlPr>
                </m:sSubSupPr>
                <m:e>
                  <m:r>
                    <w:rPr>
                      <w:rFonts w:ascii="Cambria Math" w:hAnsi="Cambria Math"/>
                      <w:lang w:val=""/>
                    </w:rPr>
                    <m:t>σ</m:t>
                  </m:r>
                </m:e>
                <m:sub>
                  <m:r>
                    <w:rPr>
                      <w:rFonts w:ascii="Cambria Math" w:hAnsi="Cambria Math"/>
                      <w:lang w:val=""/>
                    </w:rPr>
                    <m:t>c</m:t>
                  </m:r>
                </m:sub>
                <m:sup>
                  <m:r>
                    <m:rPr>
                      <m:sty m:val="p"/>
                    </m:rPr>
                    <w:rPr>
                      <w:rFonts w:ascii="Cambria Math" w:hAnsi="Cambria Math"/>
                      <w:lang w:val=""/>
                    </w:rPr>
                    <m:t>2</m:t>
                  </m:r>
                </m:sup>
              </m:sSubSup>
            </m:e>
          </m:d>
        </m:oMath>
      </m:oMathPara>
    </w:p>
    <w:p w14:paraId="168E7DD9" w14:textId="1AA652C9" w:rsidR="00BE6A8A" w:rsidRDefault="00BE6A8A" w:rsidP="008B4982">
      <w:r>
        <w:rPr>
          <w:rFonts w:eastAsiaTheme="minorEastAsia"/>
          <w:lang w:val=""/>
        </w:rPr>
        <w:t xml:space="preserve">In this paper, </w:t>
      </w:r>
    </w:p>
    <w:p w14:paraId="0BA9DD6F" w14:textId="62602B2C" w:rsidR="00AB1662" w:rsidRDefault="003D38EC" w:rsidP="007F54EA">
      <w:r>
        <w:t>The</w:t>
      </w:r>
      <w:r w:rsidR="008B4982">
        <w:t xml:space="preserve"> latent</w:t>
      </w:r>
      <w:r>
        <w:t xml:space="preserve"> contex</w:t>
      </w:r>
      <w:r w:rsidR="00DC783F">
        <w:t xml:space="preserve">t is modelled as a </w:t>
      </w:r>
      <w:r w:rsidR="008B4982">
        <w:t xml:space="preserve">two-state </w:t>
      </w:r>
      <w:r w:rsidR="00DC783F">
        <w:t>Markov chain wit</w:t>
      </w:r>
      <w:r w:rsidR="007A3506">
        <w:t>h switch probability</w:t>
      </w:r>
      <w:r w:rsidR="00DC783F">
        <w:t xml:space="preserve"> denoted as</w:t>
      </w:r>
      <w:r w:rsidR="008273E9">
        <w:t>:</w:t>
      </w:r>
    </w:p>
    <w:p w14:paraId="5A4EB550" w14:textId="7A423959" w:rsidR="008273E9" w:rsidRDefault="008273E9" w:rsidP="008273E9">
      <m:oMathPara>
        <m:oMath>
          <m:r>
            <w:rPr>
              <w:rFonts w:ascii="Cambria Math" w:hAnsi="Cambria Math"/>
              <w:lang w:val=""/>
            </w:rPr>
            <m:t>P</m:t>
          </m:r>
          <m:d>
            <m:dPr>
              <m:ctrlPr>
                <w:rPr>
                  <w:rFonts w:ascii="Cambria Math" w:hAnsi="Cambria Math"/>
                  <w:lang w:val=""/>
                </w:rPr>
              </m:ctrlPr>
            </m:dPr>
            <m:e>
              <m:sSub>
                <m:sSubPr>
                  <m:ctrlPr>
                    <w:rPr>
                      <w:rFonts w:ascii="Cambria Math" w:hAnsi="Cambria Math"/>
                      <w:lang w:val=""/>
                    </w:rPr>
                  </m:ctrlPr>
                </m:sSubPr>
                <m:e>
                  <m:r>
                    <w:rPr>
                      <w:rFonts w:ascii="Cambria Math" w:hAnsi="Cambria Math"/>
                      <w:lang w:val=""/>
                    </w:rPr>
                    <m:t>C</m:t>
                  </m:r>
                </m:e>
                <m:sub>
                  <m:r>
                    <w:rPr>
                      <w:rFonts w:ascii="Cambria Math" w:hAnsi="Cambria Math"/>
                      <w:lang w:val=""/>
                    </w:rPr>
                    <m:t>t</m:t>
                  </m:r>
                </m:sub>
              </m:sSub>
              <m:r>
                <m:rPr>
                  <m:sty m:val="p"/>
                </m:rPr>
                <w:rPr>
                  <w:rFonts w:ascii="Cambria Math" w:hAnsi="Cambria Math"/>
                  <w:lang w:val=""/>
                </w:rPr>
                <m:t>≠</m:t>
              </m:r>
              <m:sSub>
                <m:sSubPr>
                  <m:ctrlPr>
                    <w:rPr>
                      <w:rFonts w:ascii="Cambria Math" w:hAnsi="Cambria Math"/>
                      <w:lang w:val=""/>
                    </w:rPr>
                  </m:ctrlPr>
                </m:sSubPr>
                <m:e>
                  <m:r>
                    <w:rPr>
                      <w:rFonts w:ascii="Cambria Math" w:hAnsi="Cambria Math"/>
                      <w:lang w:val=""/>
                    </w:rPr>
                    <m:t>C</m:t>
                  </m:r>
                </m:e>
                <m:sub>
                  <m:r>
                    <w:rPr>
                      <w:rFonts w:ascii="Cambria Math" w:hAnsi="Cambria Math"/>
                      <w:lang w:val=""/>
                    </w:rPr>
                    <m:t>t</m:t>
                  </m:r>
                  <m:r>
                    <m:rPr>
                      <m:sty m:val="p"/>
                    </m:rPr>
                    <w:rPr>
                      <w:rFonts w:ascii="Cambria Math" w:hAnsi="Cambria Math"/>
                      <w:lang w:val=""/>
                    </w:rPr>
                    <m:t>-1</m:t>
                  </m:r>
                </m:sub>
              </m:sSub>
            </m:e>
          </m:d>
          <m:r>
            <m:rPr>
              <m:sty m:val="p"/>
            </m:rPr>
            <w:rPr>
              <w:rFonts w:ascii="Cambria Math" w:hAnsi="Cambria Math"/>
              <w:lang w:val=""/>
            </w:rPr>
            <m:t>=</m:t>
          </m:r>
          <m:sSub>
            <m:sSubPr>
              <m:ctrlPr>
                <w:rPr>
                  <w:rFonts w:ascii="Cambria Math" w:hAnsi="Cambria Math"/>
                  <w:lang w:val=""/>
                </w:rPr>
              </m:ctrlPr>
            </m:sSubPr>
            <m:e>
              <m:r>
                <w:rPr>
                  <w:rFonts w:ascii="Cambria Math" w:hAnsi="Cambria Math"/>
                  <w:lang w:val=""/>
                </w:rPr>
                <m:t>p</m:t>
              </m:r>
            </m:e>
            <m:sub>
              <m:r>
                <m:rPr>
                  <m:nor/>
                </m:rPr>
                <w:rPr>
                  <w:lang w:val=""/>
                </w:rPr>
                <m:t>switch</m:t>
              </m:r>
            </m:sub>
          </m:sSub>
        </m:oMath>
      </m:oMathPara>
    </w:p>
    <w:p w14:paraId="2A8E7411" w14:textId="3DA931B9" w:rsidR="003D26DB" w:rsidRDefault="000D2D05" w:rsidP="000D2D05">
      <w:r w:rsidRPr="000D2D05">
        <w:t xml:space="preserve">The neuronal encoder is modelled as a logistic nonlinearity with adaptable slope </w:t>
      </w:r>
      <w:r>
        <w:t xml:space="preserve">a </w:t>
      </w:r>
      <w:r w:rsidRPr="000D2D05">
        <w:t xml:space="preserve">and offset </w:t>
      </w:r>
      <w:r>
        <w:t>b</w:t>
      </w:r>
      <w:r w:rsidR="008A0297">
        <w:t>:</w:t>
      </w:r>
    </w:p>
    <w:p w14:paraId="26976D3A" w14:textId="7DD3CB99" w:rsidR="008A0297" w:rsidRPr="008A0297" w:rsidRDefault="008A0297" w:rsidP="008A0297">
      <w:pPr>
        <w:rPr>
          <w:rFonts w:eastAsiaTheme="minorEastAsia"/>
          <w:lang w:val=""/>
        </w:rPr>
      </w:pPr>
      <m:oMathPara>
        <m:oMath>
          <m:r>
            <w:rPr>
              <w:rFonts w:ascii="Cambria Math" w:hAnsi="Cambria Math"/>
              <w:lang w:val=""/>
            </w:rPr>
            <m:t>f</m:t>
          </m:r>
          <m:d>
            <m:dPr>
              <m:sepChr m:val=";"/>
              <m:ctrlPr>
                <w:rPr>
                  <w:rFonts w:ascii="Cambria Math" w:hAnsi="Cambria Math"/>
                  <w:lang w:val=""/>
                </w:rPr>
              </m:ctrlPr>
            </m:dPr>
            <m:e>
              <m:r>
                <w:rPr>
                  <w:rFonts w:ascii="Cambria Math" w:hAnsi="Cambria Math"/>
                  <w:lang w:val=""/>
                </w:rPr>
                <m:t>x</m:t>
              </m:r>
            </m:e>
            <m:e>
              <m:r>
                <w:rPr>
                  <w:rFonts w:ascii="Cambria Math" w:hAnsi="Cambria Math"/>
                  <w:lang w:val=""/>
                </w:rPr>
                <m:t>a</m:t>
              </m:r>
            </m:e>
            <m:e>
              <m:r>
                <w:rPr>
                  <w:rFonts w:ascii="Cambria Math" w:hAnsi="Cambria Math"/>
                  <w:lang w:val=""/>
                </w:rPr>
                <m:t>b</m:t>
              </m:r>
            </m:e>
          </m:d>
          <m:r>
            <m:rPr>
              <m:sty m:val="p"/>
            </m:rPr>
            <w:rPr>
              <w:rFonts w:ascii="Cambria Math" w:hAnsi="Cambria Math"/>
              <w:lang w:val=""/>
            </w:rPr>
            <m:t>=</m:t>
          </m:r>
          <m:f>
            <m:fPr>
              <m:ctrlPr>
                <w:rPr>
                  <w:rFonts w:ascii="Cambria Math" w:hAnsi="Cambria Math"/>
                  <w:lang w:val=""/>
                </w:rPr>
              </m:ctrlPr>
            </m:fPr>
            <m:num>
              <m:sSub>
                <m:sSubPr>
                  <m:ctrlPr>
                    <w:rPr>
                      <w:rFonts w:ascii="Cambria Math" w:hAnsi="Cambria Math"/>
                      <w:lang w:val=""/>
                    </w:rPr>
                  </m:ctrlPr>
                </m:sSubPr>
                <m:e>
                  <m:r>
                    <w:rPr>
                      <w:rFonts w:ascii="Cambria Math" w:hAnsi="Cambria Math"/>
                      <w:lang w:val=""/>
                    </w:rPr>
                    <m:t>R</m:t>
                  </m:r>
                </m:e>
                <m:sub>
                  <m:r>
                    <m:rPr>
                      <m:sty m:val="p"/>
                    </m:rPr>
                    <w:rPr>
                      <w:rFonts w:ascii="Cambria Math" w:hAnsi="Cambria Math"/>
                      <w:lang w:val=""/>
                    </w:rPr>
                    <m:t>max</m:t>
                  </m:r>
                </m:sub>
              </m:sSub>
            </m:num>
            <m:den>
              <m:r>
                <m:rPr>
                  <m:sty m:val="p"/>
                </m:rPr>
                <w:rPr>
                  <w:rFonts w:ascii="Cambria Math" w:hAnsi="Cambria Math"/>
                  <w:lang w:val=""/>
                </w:rPr>
                <m:t>1+</m:t>
              </m:r>
              <m:func>
                <m:funcPr>
                  <m:ctrlPr>
                    <w:rPr>
                      <w:rFonts w:ascii="Cambria Math" w:hAnsi="Cambria Math"/>
                      <w:lang w:val=""/>
                    </w:rPr>
                  </m:ctrlPr>
                </m:funcPr>
                <m:fName>
                  <m:r>
                    <m:rPr>
                      <m:sty m:val="p"/>
                    </m:rPr>
                    <w:rPr>
                      <w:rFonts w:ascii="Cambria Math" w:hAnsi="Cambria Math"/>
                      <w:lang w:val=""/>
                    </w:rPr>
                    <m:t>exp</m:t>
                  </m:r>
                </m:fName>
                <m:e>
                  <m:d>
                    <m:dPr>
                      <m:begChr m:val="["/>
                      <m:endChr m:val="]"/>
                      <m:ctrlPr>
                        <w:rPr>
                          <w:rFonts w:ascii="Cambria Math" w:hAnsi="Cambria Math"/>
                          <w:lang w:val=""/>
                        </w:rPr>
                      </m:ctrlPr>
                    </m:dPr>
                    <m:e>
                      <m:r>
                        <m:rPr>
                          <m:sty m:val="p"/>
                        </m:rPr>
                        <w:rPr>
                          <w:rFonts w:ascii="Cambria Math" w:hAnsi="Cambria Math"/>
                          <w:lang w:val=""/>
                        </w:rPr>
                        <m:t>-</m:t>
                      </m:r>
                      <m:r>
                        <w:rPr>
                          <w:rFonts w:ascii="Cambria Math" w:hAnsi="Cambria Math"/>
                          <w:lang w:val=""/>
                        </w:rPr>
                        <m:t>a</m:t>
                      </m:r>
                      <m:d>
                        <m:dPr>
                          <m:ctrlPr>
                            <w:rPr>
                              <w:rFonts w:ascii="Cambria Math" w:hAnsi="Cambria Math"/>
                              <w:lang w:val=""/>
                            </w:rPr>
                          </m:ctrlPr>
                        </m:dPr>
                        <m:e>
                          <m:r>
                            <w:rPr>
                              <w:rFonts w:ascii="Cambria Math" w:hAnsi="Cambria Math"/>
                              <w:lang w:val=""/>
                            </w:rPr>
                            <m:t>x</m:t>
                          </m:r>
                          <m:r>
                            <m:rPr>
                              <m:sty m:val="p"/>
                            </m:rPr>
                            <w:rPr>
                              <w:rFonts w:ascii="Cambria Math" w:hAnsi="Cambria Math"/>
                              <w:lang w:val=""/>
                            </w:rPr>
                            <m:t>-</m:t>
                          </m:r>
                          <m:r>
                            <w:rPr>
                              <w:rFonts w:ascii="Cambria Math" w:hAnsi="Cambria Math"/>
                              <w:lang w:val=""/>
                            </w:rPr>
                            <m:t>b</m:t>
                          </m:r>
                        </m:e>
                      </m:d>
                    </m:e>
                  </m:d>
                </m:e>
              </m:func>
            </m:den>
          </m:f>
        </m:oMath>
      </m:oMathPara>
    </w:p>
    <w:p w14:paraId="43600636" w14:textId="456473B8" w:rsidR="008A0297" w:rsidRDefault="0086138B" w:rsidP="0086138B">
      <w:pPr>
        <w:rPr>
          <w:rFonts w:eastAsiaTheme="minorEastAsia"/>
        </w:rPr>
      </w:pPr>
      <w:r w:rsidRPr="0086138B">
        <w:rPr>
          <w:rFonts w:eastAsiaTheme="minorEastAsia"/>
        </w:rPr>
        <w:t xml:space="preserve">The encoder output is </w:t>
      </w:r>
      <w:r>
        <w:rPr>
          <w:rFonts w:eastAsiaTheme="minorEastAsia"/>
        </w:rPr>
        <w:t xml:space="preserve">assumed to be </w:t>
      </w:r>
      <w:r w:rsidRPr="0086138B">
        <w:rPr>
          <w:rFonts w:eastAsiaTheme="minorEastAsia"/>
        </w:rPr>
        <w:t>corrupted by additive Gaussian noise, so the observed response is</w:t>
      </w:r>
      <w:r w:rsidR="00D37F5F">
        <w:rPr>
          <w:rFonts w:eastAsiaTheme="minorEastAsia"/>
        </w:rPr>
        <w:t>:</w:t>
      </w:r>
    </w:p>
    <w:p w14:paraId="4EEAB61D" w14:textId="60D1C77E" w:rsidR="007E5FE6" w:rsidRPr="007E5FE6" w:rsidRDefault="007E5FE6" w:rsidP="007E5FE6">
      <w:pPr>
        <w:rPr>
          <w:rFonts w:eastAsiaTheme="minorEastAsia"/>
          <w:lang w:val=""/>
        </w:rPr>
      </w:pPr>
      <m:oMathPara>
        <m:oMath>
          <m:sSub>
            <m:sSubPr>
              <m:ctrlPr>
                <w:rPr>
                  <w:rFonts w:ascii="Cambria Math" w:eastAsiaTheme="minorEastAsia" w:hAnsi="Cambria Math"/>
                  <w:lang w:val=""/>
                </w:rPr>
              </m:ctrlPr>
            </m:sSubPr>
            <m:e>
              <m:r>
                <w:rPr>
                  <w:rFonts w:ascii="Cambria Math" w:eastAsiaTheme="minorEastAsia" w:hAnsi="Cambria Math"/>
                  <w:lang w:val=""/>
                </w:rPr>
                <m:t>R</m:t>
              </m:r>
            </m:e>
            <m:sub>
              <m:r>
                <w:rPr>
                  <w:rFonts w:ascii="Cambria Math" w:eastAsiaTheme="minorEastAsia" w:hAnsi="Cambria Math"/>
                  <w:lang w:val=""/>
                </w:rPr>
                <m:t>t</m:t>
              </m:r>
            </m:sub>
          </m:sSub>
          <m:r>
            <m:rPr>
              <m:sty m:val="p"/>
            </m:rPr>
            <w:rPr>
              <w:rFonts w:ascii="Cambria Math" w:eastAsiaTheme="minorEastAsia" w:hAnsi="Cambria Math"/>
              <w:lang w:val=""/>
            </w:rPr>
            <m:t>∣</m:t>
          </m:r>
          <m:sSub>
            <m:sSubPr>
              <m:ctrlPr>
                <w:rPr>
                  <w:rFonts w:ascii="Cambria Math" w:eastAsiaTheme="minorEastAsia" w:hAnsi="Cambria Math"/>
                  <w:lang w:val=""/>
                </w:rPr>
              </m:ctrlPr>
            </m:sSubPr>
            <m:e>
              <m:r>
                <w:rPr>
                  <w:rFonts w:ascii="Cambria Math" w:eastAsiaTheme="minorEastAsia" w:hAnsi="Cambria Math"/>
                  <w:lang w:val=""/>
                </w:rPr>
                <m:t>X</m:t>
              </m:r>
            </m:e>
            <m:sub>
              <m:r>
                <w:rPr>
                  <w:rFonts w:ascii="Cambria Math" w:eastAsiaTheme="minorEastAsia" w:hAnsi="Cambria Math"/>
                  <w:lang w:val=""/>
                </w:rPr>
                <m:t>t</m:t>
              </m:r>
            </m:sub>
          </m:sSub>
          <m:r>
            <m:rPr>
              <m:sty m:val="p"/>
            </m:rPr>
            <w:rPr>
              <w:rFonts w:ascii="Cambria Math" w:eastAsiaTheme="minorEastAsia" w:hAnsi="Cambria Math"/>
              <w:lang w:val=""/>
            </w:rPr>
            <m:t>=</m:t>
          </m:r>
          <m:r>
            <w:rPr>
              <w:rFonts w:ascii="Cambria Math" w:eastAsiaTheme="minorEastAsia" w:hAnsi="Cambria Math"/>
              <w:lang w:val=""/>
            </w:rPr>
            <m:t>x</m:t>
          </m:r>
          <m:r>
            <m:rPr>
              <m:scr m:val="script"/>
              <m:sty m:val="p"/>
            </m:rPr>
            <w:rPr>
              <w:rFonts w:ascii="Cambria Math" w:eastAsiaTheme="minorEastAsia" w:hAnsi="Cambria Math"/>
              <w:lang w:val=""/>
            </w:rPr>
            <m:t>∼N</m:t>
          </m:r>
          <m:r>
            <m:rPr>
              <m:sty m:val="p"/>
            </m:rPr>
            <w:rPr>
              <w:rFonts w:ascii="Cambria Math" w:eastAsiaTheme="minorEastAsia" w:hAnsi="Cambria Math"/>
              <w:lang w:val=""/>
            </w:rPr>
            <m:t>(</m:t>
          </m:r>
          <m:r>
            <w:rPr>
              <w:rFonts w:ascii="Cambria Math" w:eastAsiaTheme="minorEastAsia" w:hAnsi="Cambria Math"/>
              <w:lang w:val=""/>
            </w:rPr>
            <m:t>f</m:t>
          </m:r>
          <m:d>
            <m:dPr>
              <m:ctrlPr>
                <w:rPr>
                  <w:rFonts w:ascii="Cambria Math" w:eastAsiaTheme="minorEastAsia" w:hAnsi="Cambria Math"/>
                  <w:i/>
                  <w:iCs/>
                  <w:lang w:val=""/>
                </w:rPr>
              </m:ctrlPr>
            </m:dPr>
            <m:e>
              <m:r>
                <w:rPr>
                  <w:rFonts w:ascii="Cambria Math" w:eastAsiaTheme="minorEastAsia" w:hAnsi="Cambria Math"/>
                  <w:lang w:val=""/>
                </w:rPr>
                <m:t>x;a,b</m:t>
              </m:r>
            </m:e>
          </m:d>
          <m:r>
            <w:rPr>
              <w:rFonts w:ascii="Cambria Math" w:eastAsiaTheme="minorEastAsia" w:hAnsi="Cambria Math"/>
              <w:lang w:val=""/>
            </w:rPr>
            <m:t xml:space="preserve">, </m:t>
          </m:r>
          <m:sSubSup>
            <m:sSubSupPr>
              <m:ctrlPr>
                <w:rPr>
                  <w:rFonts w:ascii="Cambria Math" w:eastAsiaTheme="minorEastAsia" w:hAnsi="Cambria Math"/>
                  <w:i/>
                  <w:iCs/>
                  <w:lang w:val=""/>
                </w:rPr>
              </m:ctrlPr>
            </m:sSubSupPr>
            <m:e>
              <m:r>
                <w:rPr>
                  <w:rFonts w:ascii="Cambria Math" w:eastAsiaTheme="minorEastAsia" w:hAnsi="Cambria Math"/>
                  <w:lang w:val=""/>
                </w:rPr>
                <m:t>σ</m:t>
              </m:r>
            </m:e>
            <m:sub>
              <m:r>
                <w:rPr>
                  <w:rFonts w:ascii="Cambria Math" w:eastAsiaTheme="minorEastAsia" w:hAnsi="Cambria Math"/>
                  <w:lang w:val=""/>
                </w:rPr>
                <m:t>r</m:t>
              </m:r>
            </m:sub>
            <m:sup>
              <m:r>
                <w:rPr>
                  <w:rFonts w:ascii="Cambria Math" w:eastAsiaTheme="minorEastAsia" w:hAnsi="Cambria Math"/>
                  <w:lang w:val=""/>
                </w:rPr>
                <m:t>2</m:t>
              </m:r>
            </m:sup>
          </m:sSubSup>
          <m:r>
            <w:rPr>
              <w:rFonts w:ascii="Cambria Math" w:eastAsiaTheme="minorEastAsia" w:hAnsi="Cambria Math"/>
              <w:lang w:val=""/>
            </w:rPr>
            <m:t>)</m:t>
          </m:r>
          <m:r>
            <m:rPr>
              <m:sty m:val="p"/>
            </m:rPr>
            <w:rPr>
              <w:rFonts w:ascii="Cambria Math" w:eastAsiaTheme="minorEastAsia" w:hAnsi="Cambria Math"/>
              <w:lang w:val=""/>
            </w:rPr>
            <m:t>,</m:t>
          </m:r>
        </m:oMath>
      </m:oMathPara>
    </w:p>
    <w:p w14:paraId="719CE788" w14:textId="110E06EC" w:rsidR="007E5FE6" w:rsidRDefault="00CF34F8" w:rsidP="00CF34F8">
      <w:pPr>
        <w:rPr>
          <w:rFonts w:eastAsiaTheme="minorEastAsia"/>
        </w:rPr>
      </w:pPr>
      <w:r w:rsidRPr="00CF34F8">
        <w:rPr>
          <w:rFonts w:eastAsiaTheme="minorEastAsia"/>
        </w:rPr>
        <w:t xml:space="preserve">For a given response </w:t>
      </w:r>
      <m:oMath>
        <m:r>
          <w:rPr>
            <w:rFonts w:ascii="Cambria Math" w:eastAsiaTheme="minorEastAsia" w:hAnsi="Cambria Math"/>
          </w:rPr>
          <m:t>r</m:t>
        </m:r>
      </m:oMath>
      <w:r w:rsidRPr="00CF34F8">
        <w:rPr>
          <w:rFonts w:eastAsiaTheme="minorEastAsia"/>
        </w:rPr>
        <w:t>, the stimulus is decoded using the posterior mean estimator</w:t>
      </w:r>
      <w:r w:rsidR="00B01B85">
        <w:rPr>
          <w:rFonts w:eastAsiaTheme="minorEastAsia"/>
        </w:rPr>
        <w:t>:</w:t>
      </w:r>
    </w:p>
    <w:p w14:paraId="71BC2FCA" w14:textId="1DF5598A" w:rsidR="00B01B85" w:rsidRPr="007E5FE6" w:rsidRDefault="00B01B85" w:rsidP="00B01B85">
      <w:pPr>
        <w:rPr>
          <w:rFonts w:eastAsiaTheme="minorEastAsia"/>
        </w:rPr>
      </w:pPr>
      <m:oMathPara>
        <m:oMath>
          <m:r>
            <m:rPr>
              <m:sty m:val="p"/>
            </m:rPr>
            <w:rPr>
              <w:rFonts w:ascii="Cambria Math" w:eastAsiaTheme="minorEastAsia" w:hAnsi="Cambria Math"/>
              <w:lang w:val=""/>
            </w:rPr>
            <m:t> </m:t>
          </m:r>
          <m:acc>
            <m:accPr>
              <m:ctrlPr>
                <w:rPr>
                  <w:rFonts w:ascii="Cambria Math" w:eastAsiaTheme="minorEastAsia" w:hAnsi="Cambria Math"/>
                  <w:lang w:val=""/>
                </w:rPr>
              </m:ctrlPr>
            </m:accPr>
            <m:e>
              <m:r>
                <w:rPr>
                  <w:rFonts w:ascii="Cambria Math" w:eastAsiaTheme="minorEastAsia" w:hAnsi="Cambria Math"/>
                  <w:lang w:val=""/>
                </w:rPr>
                <m:t>x</m:t>
              </m:r>
            </m:e>
          </m:acc>
          <m:d>
            <m:dPr>
              <m:ctrlPr>
                <w:rPr>
                  <w:rFonts w:ascii="Cambria Math" w:eastAsiaTheme="minorEastAsia" w:hAnsi="Cambria Math"/>
                  <w:lang w:val=""/>
                </w:rPr>
              </m:ctrlPr>
            </m:dPr>
            <m:e>
              <m:r>
                <w:rPr>
                  <w:rFonts w:ascii="Cambria Math" w:eastAsiaTheme="minorEastAsia" w:hAnsi="Cambria Math"/>
                  <w:lang w:val=""/>
                </w:rPr>
                <m:t>r</m:t>
              </m:r>
            </m:e>
          </m:d>
          <m:r>
            <m:rPr>
              <m:sty m:val="p"/>
            </m:rPr>
            <w:rPr>
              <w:rFonts w:ascii="Cambria Math" w:eastAsiaTheme="minorEastAsia" w:hAnsi="Cambria Math"/>
              <w:lang w:val=""/>
            </w:rPr>
            <m:t>=</m:t>
          </m:r>
          <m:r>
            <w:rPr>
              <w:rFonts w:ascii="Cambria Math" w:eastAsiaTheme="minorEastAsia" w:hAnsi="Cambria Math"/>
              <w:lang w:val=""/>
            </w:rPr>
            <m:t>E</m:t>
          </m:r>
          <m:d>
            <m:dPr>
              <m:begChr m:val="["/>
              <m:endChr m:val="]"/>
              <m:ctrlPr>
                <w:rPr>
                  <w:rFonts w:ascii="Cambria Math" w:eastAsiaTheme="minorEastAsia" w:hAnsi="Cambria Math"/>
                  <w:lang w:val=""/>
                </w:rPr>
              </m:ctrlPr>
            </m:dPr>
            <m:e>
              <m:r>
                <w:rPr>
                  <w:rFonts w:ascii="Cambria Math" w:eastAsiaTheme="minorEastAsia" w:hAnsi="Cambria Math"/>
                  <w:lang w:val=""/>
                </w:rPr>
                <m:t>X</m:t>
              </m:r>
              <m:r>
                <m:rPr>
                  <m:sty m:val="p"/>
                </m:rPr>
                <w:rPr>
                  <w:rFonts w:ascii="Cambria Math" w:eastAsiaTheme="minorEastAsia" w:hAnsi="Cambria Math"/>
                  <w:lang w:val=""/>
                </w:rPr>
                <m:t>∣</m:t>
              </m:r>
              <m:r>
                <w:rPr>
                  <w:rFonts w:ascii="Cambria Math" w:eastAsiaTheme="minorEastAsia" w:hAnsi="Cambria Math"/>
                  <w:lang w:val=""/>
                </w:rPr>
                <m:t>R</m:t>
              </m:r>
              <m:r>
                <m:rPr>
                  <m:sty m:val="p"/>
                </m:rPr>
                <w:rPr>
                  <w:rFonts w:ascii="Cambria Math" w:eastAsiaTheme="minorEastAsia" w:hAnsi="Cambria Math"/>
                  <w:lang w:val=""/>
                </w:rPr>
                <m:t>=</m:t>
              </m:r>
              <m:r>
                <w:rPr>
                  <w:rFonts w:ascii="Cambria Math" w:eastAsiaTheme="minorEastAsia" w:hAnsi="Cambria Math"/>
                  <w:lang w:val=""/>
                </w:rPr>
                <m:t>r</m:t>
              </m:r>
            </m:e>
          </m:d>
        </m:oMath>
      </m:oMathPara>
    </w:p>
    <w:p w14:paraId="09E8AD98" w14:textId="77777777" w:rsidR="009E6E83" w:rsidRDefault="009E6E83" w:rsidP="009E6E83">
      <w:r w:rsidRPr="009E6E83">
        <w:t>For numerical tractability, all distributions and posterior computations were evaluated on discretized stimulus and response grids.</w:t>
      </w:r>
    </w:p>
    <w:p w14:paraId="708C8B92" w14:textId="77777777" w:rsidR="009C7F96" w:rsidRDefault="009C7F96" w:rsidP="009E6E83"/>
    <w:p w14:paraId="6AC8ADE8" w14:textId="2E16CEF4" w:rsidR="009C7F96" w:rsidRPr="009C7F96" w:rsidRDefault="009C7F96" w:rsidP="009C7F96">
      <w:r w:rsidRPr="009C7F96">
        <w:t xml:space="preserve">For each context </w:t>
      </w:r>
      <m:oMath>
        <m:r>
          <w:rPr>
            <w:rFonts w:ascii="Cambria Math" w:hAnsi="Cambria Math"/>
          </w:rPr>
          <m:t>c</m:t>
        </m:r>
      </m:oMath>
      <w:r w:rsidRPr="009C7F96">
        <w:t>, I fit a locally optimal codebook by choosing encoding parameters that minimize expected squared decoding error under that context’s stimulus distribution:</w:t>
      </w:r>
    </w:p>
    <w:p w14:paraId="2FC49338" w14:textId="54C7E747" w:rsidR="009C7F96" w:rsidRPr="009C7F96" w:rsidRDefault="009C7F96" w:rsidP="009C7F96">
      <m:oMathPara>
        <m:oMath>
          <m:sSubSup>
            <m:sSubSupPr>
              <m:ctrlPr>
                <w:rPr>
                  <w:rFonts w:ascii="Cambria Math" w:hAnsi="Cambria Math"/>
                </w:rPr>
              </m:ctrlPr>
            </m:sSubSupPr>
            <m:e>
              <m:r>
                <w:rPr>
                  <w:rFonts w:ascii="Cambria Math" w:hAnsi="Cambria Math"/>
                </w:rPr>
                <m:t>θ</m:t>
              </m:r>
            </m:e>
            <m:sub>
              <m:r>
                <w:rPr>
                  <w:rFonts w:ascii="Cambria Math" w:hAnsi="Cambria Math"/>
                </w:rPr>
                <m:t>c</m:t>
              </m:r>
            </m:sub>
            <m:sup>
              <m:r>
                <m:rPr>
                  <m:nor/>
                </m:rPr>
                <m:t>local</m:t>
              </m:r>
            </m:sup>
          </m:sSub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θ</m:t>
              </m:r>
            </m:lim>
          </m:limLow>
          <m:r>
            <m:rPr>
              <m:nor/>
            </m:rPr>
            <m:t>  </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X∼p(x∣C=c),</m:t>
              </m:r>
              <m:r>
                <m:rPr>
                  <m:nor/>
                </m:rPr>
                <m:t> </m:t>
              </m:r>
              <m:r>
                <w:rPr>
                  <w:rFonts w:ascii="Cambria Math" w:hAnsi="Cambria Math"/>
                </w:rPr>
                <m:t>R∼</m:t>
              </m:r>
              <m:sSub>
                <m:sSubPr>
                  <m:ctrlPr>
                    <w:rPr>
                      <w:rFonts w:ascii="Cambria Math" w:hAnsi="Cambria Math"/>
                    </w:rPr>
                  </m:ctrlPr>
                </m:sSubPr>
                <m:e>
                  <m:r>
                    <w:rPr>
                      <w:rFonts w:ascii="Cambria Math" w:hAnsi="Cambria Math"/>
                    </w:rPr>
                    <m:t>p</m:t>
                  </m:r>
                </m:e>
                <m:sub>
                  <m:r>
                    <w:rPr>
                      <w:rFonts w:ascii="Cambria Math" w:hAnsi="Cambria Math"/>
                    </w:rPr>
                    <m:t>θ</m:t>
                  </m:r>
                </m:sub>
              </m:sSub>
              <m:r>
                <w:rPr>
                  <w:rFonts w:ascii="Cambria Math" w:hAnsi="Cambria Math"/>
                </w:rPr>
                <m:t>(r∣x)</m:t>
              </m:r>
            </m:sub>
          </m:sSub>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θ</m:t>
              </m:r>
            </m:sub>
          </m:sSub>
          <m:r>
            <w:rPr>
              <w:rFonts w:ascii="Cambria Math" w:hAnsi="Cambria Math"/>
            </w:rPr>
            <m:t>(R)</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m:rPr>
              <m:sty m:val="p"/>
            </m:rPr>
            <w:rPr>
              <w:rFonts w:ascii="Cambria Math" w:hAnsi="Cambria Math"/>
            </w:rPr>
            <m:t>.</m:t>
          </m:r>
        </m:oMath>
      </m:oMathPara>
    </w:p>
    <w:p w14:paraId="798EF6D8" w14:textId="26A00347" w:rsidR="009C7F96" w:rsidRDefault="009C7F96" w:rsidP="00AB1156">
      <w:r w:rsidRPr="009C7F96">
        <w:t xml:space="preserve">The main adaptive strategy in this report is the naively adaptive local strategy, which selects between these context-specific local codes using the currently inferred context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oMath>
      <w:r w:rsidRPr="009C7F96">
        <w:t>.</w:t>
      </w:r>
      <w:r w:rsidR="00FA0642" w:rsidRPr="00FA0642">
        <w:t xml:space="preserve"> </w:t>
      </w:r>
      <w:r w:rsidR="00FA0642" w:rsidRPr="00FA0642">
        <w:t xml:space="preserve">I compare this adaptive strategy against two benchmarks. The oracle strategy uses the true context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FA0642" w:rsidRPr="00FA0642">
        <w:t xml:space="preserve">and therefore always selects the correct local code, while the static strategy uses a single fixed code optimized across contexts and does not switch over time. </w:t>
      </w:r>
      <w:r w:rsidR="00AB1156" w:rsidRPr="00AB1156">
        <w:t xml:space="preserve">The 2021 </w:t>
      </w:r>
      <w:r w:rsidR="00AB1156" w:rsidRPr="008B4982">
        <w:t>Młynarski and Hermundstad</w:t>
      </w:r>
      <w:r w:rsidR="00583FB9">
        <w:t xml:space="preserve"> </w:t>
      </w:r>
      <w:r w:rsidR="00AB1156" w:rsidRPr="00AB1156">
        <w:t>paper provides an in-depth analysis of biased code families. In contrast, the present study holds the codebook fixed and varies only the switching rule, allowing the effects of switching dynamics to be isolated from changes in the code itself.</w:t>
      </w:r>
    </w:p>
    <w:p w14:paraId="2C03FFB2" w14:textId="5D2C1B2F" w:rsidR="007732B0" w:rsidRPr="007732B0" w:rsidRDefault="008F2926" w:rsidP="007732B0">
      <w:r>
        <w:t>At each time step, t, the neuron maintains</w:t>
      </w:r>
      <w:r w:rsidR="009A2A2F">
        <w:t xml:space="preserve"> a </w:t>
      </w:r>
      <w:r w:rsidR="002006D5">
        <w:t xml:space="preserve">posterior belief over the two contexts (i.e. </w:t>
      </w:r>
      <w:r w:rsidR="002006D5" w:rsidRPr="002006D5">
        <w:t>p(Ct​</w:t>
      </w:r>
      <w:r w:rsidR="002006D5" w:rsidRPr="002006D5">
        <w:rPr>
          <w:rFonts w:ascii="Cambria Math" w:hAnsi="Cambria Math" w:cs="Cambria Math"/>
        </w:rPr>
        <w:t>∣</w:t>
      </w:r>
      <w:r w:rsidR="002006D5" w:rsidRPr="002006D5">
        <w:t>R1:t​)</w:t>
      </w:r>
      <w:r w:rsidR="002006D5">
        <w:t>)</w:t>
      </w:r>
      <w:r w:rsidR="00BB35EA">
        <w:t xml:space="preserve"> which is updated using Bayes’ rule.</w:t>
      </w:r>
      <w:r w:rsidR="00BA2402">
        <w:t xml:space="preserve"> </w:t>
      </w:r>
      <w:r w:rsidR="00747699">
        <w:t xml:space="preserve">The posterior belief is computed using the likelihood of the current response under each context </w:t>
      </w:r>
      <w:r w:rsidR="0007387B" w:rsidRPr="0007387B">
        <w:t>using the assumed context-switching probabilities</w:t>
      </w:r>
      <w:r w:rsidR="0007387B">
        <w:t xml:space="preserve">. </w:t>
      </w:r>
      <w:r w:rsidR="007732B0" w:rsidRPr="007732B0">
        <w:t xml:space="preserve">The inferred context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oMath>
      <w:r w:rsidR="007732B0" w:rsidRPr="007732B0">
        <w:t xml:space="preserve">is taken as the maximum a posteriori (MAP) estimate: </w:t>
      </w:r>
    </w:p>
    <w:p w14:paraId="307524DC" w14:textId="3B2E49ED" w:rsidR="007732B0" w:rsidRPr="007732B0" w:rsidRDefault="007732B0" w:rsidP="007732B0">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c</m:t>
              </m:r>
            </m:lim>
          </m:limLow>
          <m:r>
            <m:rPr>
              <m:nor/>
            </m:rPr>
            <m:t>  </m:t>
          </m:r>
          <m:r>
            <w:rPr>
              <w:rFonts w:ascii="Cambria Math" w:hAnsi="Cambria Math"/>
            </w:rPr>
            <m:t>p(</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=c∣</m:t>
          </m:r>
          <m:sSub>
            <m:sSubPr>
              <m:ctrlPr>
                <w:rPr>
                  <w:rFonts w:ascii="Cambria Math" w:hAnsi="Cambria Math"/>
                </w:rPr>
              </m:ctrlPr>
            </m:sSubPr>
            <m:e>
              <m:r>
                <w:rPr>
                  <w:rFonts w:ascii="Cambria Math" w:hAnsi="Cambria Math"/>
                </w:rPr>
                <m:t>R</m:t>
              </m:r>
            </m:e>
            <m:sub>
              <m:r>
                <w:rPr>
                  <w:rFonts w:ascii="Cambria Math" w:hAnsi="Cambria Math"/>
                </w:rPr>
                <m:t>1:t</m:t>
              </m:r>
            </m:sub>
          </m:sSub>
          <m:r>
            <w:rPr>
              <w:rFonts w:ascii="Cambria Math" w:hAnsi="Cambria Math"/>
            </w:rPr>
            <m:t>)</m:t>
          </m:r>
        </m:oMath>
      </m:oMathPara>
    </w:p>
    <w:p w14:paraId="1913D38E" w14:textId="7352757B" w:rsidR="007732B0" w:rsidRPr="007732B0" w:rsidRDefault="007732B0" w:rsidP="007732B0">
      <w:r w:rsidRPr="007732B0">
        <w:t xml:space="preserve">This inferred context determines which local encoding parameters are used at time </w:t>
      </w:r>
      <m:oMath>
        <m:r>
          <w:rPr>
            <w:rFonts w:ascii="Cambria Math" w:hAnsi="Cambria Math"/>
          </w:rPr>
          <m:t>t</m:t>
        </m:r>
      </m:oMath>
      <w:r w:rsidRPr="007732B0">
        <w:t>, subject to the switching rule.</w:t>
      </w:r>
      <w:r w:rsidR="002B4CE5">
        <w:t xml:space="preserve"> </w:t>
      </w:r>
      <w:r w:rsidR="00566B44">
        <w:t>Under instant switching, the encoding parameters change immediately whenever</w:t>
      </w:r>
      <w:r w:rsidR="008011AF">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oMath>
      <w:r w:rsidR="00566B44">
        <w:rPr>
          <w:rFonts w:eastAsiaTheme="minorEastAsia"/>
        </w:rPr>
        <w:t xml:space="preserve"> changes. Under hysteresis, switching </w:t>
      </w:r>
      <w:r w:rsidR="0021300B">
        <w:rPr>
          <w:rFonts w:eastAsiaTheme="minorEastAsia"/>
        </w:rPr>
        <w:t xml:space="preserve">only occurs when the posterior belief </w:t>
      </w:r>
      <w:r w:rsidR="00EA4419">
        <w:rPr>
          <w:rFonts w:eastAsiaTheme="minorEastAsia"/>
        </w:rPr>
        <w:t>crosses a</w:t>
      </w:r>
      <w:r w:rsidR="0021300B">
        <w:rPr>
          <w:rFonts w:eastAsiaTheme="minorEastAsia"/>
        </w:rPr>
        <w:t xml:space="preserve"> threshold</w:t>
      </w:r>
      <w:r w:rsidR="007B6D79">
        <w:rPr>
          <w:rFonts w:eastAsiaTheme="minorEastAsia"/>
        </w:rPr>
        <w:t xml:space="preserve">, preventing rapid fluctuations. Under refractory lockout, once a switch occurs, there is a </w:t>
      </w:r>
      <w:r w:rsidR="002B10A0">
        <w:rPr>
          <w:rFonts w:eastAsiaTheme="minorEastAsia"/>
        </w:rPr>
        <w:t xml:space="preserve">refractory period where switching is disallowed for a fixed number of time steps, forcing </w:t>
      </w:r>
      <w:r w:rsidR="00BA6613">
        <w:rPr>
          <w:rFonts w:eastAsiaTheme="minorEastAsia"/>
        </w:rPr>
        <w:t xml:space="preserve">persistence of current parameters. </w:t>
      </w:r>
    </w:p>
    <w:p w14:paraId="04C80771" w14:textId="28A7BAF1" w:rsidR="000C7EAA" w:rsidRDefault="000C7EAA" w:rsidP="0007387B"/>
    <w:p w14:paraId="31F432E6" w14:textId="0DA85D96" w:rsidR="008F4187" w:rsidRPr="008F4187" w:rsidRDefault="008F4187" w:rsidP="00F8538F">
      <w:r w:rsidRPr="008F4187">
        <w:t xml:space="preserve">Performance is evaluated using four </w:t>
      </w:r>
      <w:r w:rsidR="0010452F">
        <w:t>main</w:t>
      </w:r>
      <w:r w:rsidRPr="008F4187">
        <w:t xml:space="preserve"> metrics</w:t>
      </w:r>
      <w:r w:rsidR="0010452F">
        <w:t>, three of which</w:t>
      </w:r>
      <w:r w:rsidRPr="008F4187">
        <w:t xml:space="preserve"> decompose total error into interpretable components related to context mismatch. The first metric is </w:t>
      </w:r>
      <w:r w:rsidRPr="008F4187">
        <w:rPr>
          <w:b/>
          <w:bCs/>
        </w:rPr>
        <w:t>global mean squared error (MSE)</w:t>
      </w:r>
      <w:r w:rsidRPr="008F4187">
        <w:t xml:space="preserve">: </w:t>
      </w:r>
    </w:p>
    <w:p w14:paraId="00517E52" w14:textId="331F5455" w:rsidR="008F4187" w:rsidRPr="008F4187" w:rsidRDefault="008F4187" w:rsidP="008F4187">
      <m:oMathPara>
        <m:oMath>
          <m:r>
            <m:rPr>
              <m:nor/>
            </m:rPr>
            <m:t>MSE</m:t>
          </m:r>
          <m:r>
            <w:rPr>
              <w:rFonts w:ascii="Cambria Math" w:hAnsi="Cambria Math"/>
            </w:rPr>
            <m:t>=</m:t>
          </m:r>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m:rPr>
              <m:sty m:val="p"/>
            </m:rPr>
            <w:rPr>
              <w:rFonts w:ascii="Cambria Math" w:hAnsi="Cambria Math"/>
            </w:rPr>
            <m:t>.</m:t>
          </m:r>
          <m:r>
            <w:br/>
          </m:r>
        </m:oMath>
      </m:oMathPara>
    </w:p>
    <w:p w14:paraId="5167BE52" w14:textId="77777777" w:rsidR="008F4187" w:rsidRPr="008F4187" w:rsidRDefault="008F4187" w:rsidP="00F8538F">
      <w:r w:rsidRPr="008F4187">
        <w:t xml:space="preserve">The second metric is </w:t>
      </w:r>
      <w:r w:rsidRPr="008F4187">
        <w:rPr>
          <w:b/>
          <w:bCs/>
        </w:rPr>
        <w:t>mismatch rate</w:t>
      </w:r>
      <w:r w:rsidRPr="008F4187">
        <w:t xml:space="preserve">, defined as the fraction of time steps for which the inferred context differs from the true context: </w:t>
      </w:r>
    </w:p>
    <w:p w14:paraId="474865B7" w14:textId="359D8624" w:rsidR="008F4187" w:rsidRPr="008F4187" w:rsidRDefault="008F4187" w:rsidP="00F8538F">
      <m:oMathPara>
        <m:oMath>
          <m:r>
            <m:rPr>
              <m:nor/>
            </m:rPr>
            <m:t>mismatch rate</m:t>
          </m:r>
          <m:r>
            <w:rPr>
              <w:rFonts w:ascii="Cambria Math" w:hAnsi="Cambria Math"/>
            </w:rPr>
            <m:t>=</m:t>
          </m:r>
          <m:r>
            <m:rPr>
              <m:scr m:val="double-struck"/>
              <m:sty m:val="p"/>
            </m:rPr>
            <w:rPr>
              <w:rFonts w:ascii="Cambria Math" w:hAnsi="Cambria Math"/>
            </w:rPr>
            <m:t>P</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sty m:val="p"/>
            </m:rPr>
            <w:rPr>
              <w:rFonts w:ascii="Cambria Math" w:hAnsi="Cambria Math"/>
            </w:rPr>
            <m:t>.</m:t>
          </m:r>
          <m:r>
            <w:br/>
          </m:r>
        </m:oMath>
      </m:oMathPara>
      <w:r w:rsidRPr="008F4187">
        <w:t xml:space="preserve">The third metric is </w:t>
      </w:r>
      <w:r w:rsidRPr="008F4187">
        <w:rPr>
          <w:b/>
          <w:bCs/>
        </w:rPr>
        <w:t>mean mismatch duration</w:t>
      </w:r>
      <w:r w:rsidRPr="008F4187">
        <w:t xml:space="preserve">, defined as the average length of consecutive time intervals during which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oMath>
      <w:r w:rsidRPr="008F4187">
        <w:t xml:space="preserve">. The fourth metric is </w:t>
      </w:r>
      <w:r w:rsidRPr="00F8538F">
        <w:rPr>
          <w:b/>
          <w:bCs/>
        </w:rPr>
        <w:t>mismatched MSE</w:t>
      </w:r>
      <w:r w:rsidRPr="008F4187">
        <w:t xml:space="preserve">, defined as the mean squared decoding error conditioned on mismatch: </w:t>
      </w:r>
    </w:p>
    <w:p w14:paraId="3F72FA04" w14:textId="7405AB57" w:rsidR="008F4187" w:rsidRPr="008F4187" w:rsidRDefault="008F4187" w:rsidP="008F4187">
      <m:oMathPara>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sty m:val="p"/>
            </m:rPr>
            <w:rPr>
              <w:rFonts w:ascii="Cambria Math" w:hAnsi="Cambria Math"/>
            </w:rPr>
            <m:t>.</m:t>
          </m:r>
          <m:r>
            <w:br/>
          </m:r>
        </m:oMath>
      </m:oMathPara>
    </w:p>
    <w:p w14:paraId="5B26C0BE" w14:textId="7CDB6B24" w:rsidR="00864C3B" w:rsidRDefault="008F4187" w:rsidP="00F8538F">
      <w:r w:rsidRPr="008F4187">
        <w:t>Together, these metrics distinguish how often mismatches occur (mismatch rate), how long they persist (mismatch duration), and how costly they are when they occur (mismatched MSE), providing a mechanistic explanation for differences in global performance.</w:t>
      </w:r>
      <w:r w:rsidR="00F8538F">
        <w:t xml:space="preserve"> </w:t>
      </w:r>
      <w:r w:rsidR="00F8538F" w:rsidRPr="00F8538F">
        <w:t>Global error can be decomposed into</w:t>
      </w:r>
      <w:r w:rsidR="00F8538F">
        <w:t xml:space="preserve"> both</w:t>
      </w:r>
      <w:r w:rsidR="00F8538F" w:rsidRPr="00F8538F">
        <w:t xml:space="preserve"> contributions from matched and mismatched time steps. While matched error depends on the quality of the local code within each context, mismatched error depends additionally on how often mismatches occur and how long they persist. Because switching constraints primarily affect mismatch structure, the analysis focuses on the mismatch-related components of error.</w:t>
      </w:r>
    </w:p>
    <w:p w14:paraId="0C46AEE5" w14:textId="77777777" w:rsidR="00864C3B" w:rsidRDefault="00864C3B" w:rsidP="006068A1"/>
    <w:p w14:paraId="1B097550" w14:textId="1A26255D" w:rsidR="00864C3B" w:rsidRDefault="00864C3B" w:rsidP="00864C3B">
      <w:r>
        <w:t xml:space="preserve">Maybe something like this at end? </w:t>
      </w:r>
      <w:r w:rsidRPr="00864C3B">
        <w:t xml:space="preserve">“Retuning of biased code families under different switching constraints showed only minor changes in optimal interpolation parameters and did not alter the identity of the best-performing family. This suggests that, in this setting, switching dynamics </w:t>
      </w:r>
      <w:r w:rsidRPr="00864C3B">
        <w:lastRenderedPageBreak/>
        <w:t>primarily affect performance through mismatch structure rather than by substantially reshaping the optimal encoding strategy.”</w:t>
      </w:r>
    </w:p>
    <w:p w14:paraId="50794F24" w14:textId="1DE31462" w:rsidR="00F5295D" w:rsidRDefault="00F5295D" w:rsidP="00864C3B">
      <w:r w:rsidRPr="00F5295D">
        <w:drawing>
          <wp:inline distT="0" distB="0" distL="0" distR="0" wp14:anchorId="2B91B8C3" wp14:editId="6C73EF5F">
            <wp:extent cx="5943600" cy="4247515"/>
            <wp:effectExtent l="0" t="0" r="0" b="635"/>
            <wp:docPr id="1320856220" name="Picture 1" descr="The image illustrates a comparison of mean-switching and variance-switching strategies in terms of their best gamma values and achievable mean squared error (MSE) across different family categories, with a focus on their performance towards static, accuracy, and nonlocal cond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6220" name="Picture 1" descr="The image illustrates a comparison of mean-switching and variance-switching strategies in terms of their best gamma values and achievable mean squared error (MSE) across different family categories, with a focus on their performance towards static, accuracy, and nonlocal conditions.&#10;&#10;AI-generated content may be incorrect."/>
                    <pic:cNvPicPr/>
                  </pic:nvPicPr>
                  <pic:blipFill>
                    <a:blip r:embed="rId5"/>
                    <a:stretch>
                      <a:fillRect/>
                    </a:stretch>
                  </pic:blipFill>
                  <pic:spPr>
                    <a:xfrm>
                      <a:off x="0" y="0"/>
                      <a:ext cx="5943600" cy="4247515"/>
                    </a:xfrm>
                    <a:prstGeom prst="rect">
                      <a:avLst/>
                    </a:prstGeom>
                  </pic:spPr>
                </pic:pic>
              </a:graphicData>
            </a:graphic>
          </wp:inline>
        </w:drawing>
      </w:r>
    </w:p>
    <w:sectPr w:rsidR="00F5295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D50752"/>
    <w:multiLevelType w:val="multilevel"/>
    <w:tmpl w:val="FDA8C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4C27DD"/>
    <w:multiLevelType w:val="multilevel"/>
    <w:tmpl w:val="0740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6138D8"/>
    <w:multiLevelType w:val="multilevel"/>
    <w:tmpl w:val="EF82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9A755A"/>
    <w:multiLevelType w:val="multilevel"/>
    <w:tmpl w:val="B358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763289"/>
    <w:multiLevelType w:val="multilevel"/>
    <w:tmpl w:val="FD20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276283"/>
    <w:multiLevelType w:val="multilevel"/>
    <w:tmpl w:val="034E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F46A30"/>
    <w:multiLevelType w:val="multilevel"/>
    <w:tmpl w:val="F2D4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B67275"/>
    <w:multiLevelType w:val="multilevel"/>
    <w:tmpl w:val="947E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312439">
    <w:abstractNumId w:val="3"/>
  </w:num>
  <w:num w:numId="2" w16cid:durableId="64376665">
    <w:abstractNumId w:val="5"/>
  </w:num>
  <w:num w:numId="3" w16cid:durableId="2101758998">
    <w:abstractNumId w:val="7"/>
  </w:num>
  <w:num w:numId="4" w16cid:durableId="1726103373">
    <w:abstractNumId w:val="2"/>
  </w:num>
  <w:num w:numId="5" w16cid:durableId="141389266">
    <w:abstractNumId w:val="6"/>
  </w:num>
  <w:num w:numId="6" w16cid:durableId="94836040">
    <w:abstractNumId w:val="4"/>
  </w:num>
  <w:num w:numId="7" w16cid:durableId="76948877">
    <w:abstractNumId w:val="1"/>
  </w:num>
  <w:num w:numId="8" w16cid:durableId="1018656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94"/>
    <w:rsid w:val="000007FC"/>
    <w:rsid w:val="00001150"/>
    <w:rsid w:val="000028BB"/>
    <w:rsid w:val="000457EE"/>
    <w:rsid w:val="00045E02"/>
    <w:rsid w:val="0007387B"/>
    <w:rsid w:val="00087E5F"/>
    <w:rsid w:val="00093F53"/>
    <w:rsid w:val="00097B7E"/>
    <w:rsid w:val="000A0CD9"/>
    <w:rsid w:val="000B08B2"/>
    <w:rsid w:val="000B1ED9"/>
    <w:rsid w:val="000C7EAA"/>
    <w:rsid w:val="000D2D05"/>
    <w:rsid w:val="001028E1"/>
    <w:rsid w:val="0010452F"/>
    <w:rsid w:val="00111465"/>
    <w:rsid w:val="00112A08"/>
    <w:rsid w:val="00123246"/>
    <w:rsid w:val="00134DC2"/>
    <w:rsid w:val="00156A0F"/>
    <w:rsid w:val="00163AC8"/>
    <w:rsid w:val="00171BF4"/>
    <w:rsid w:val="00172935"/>
    <w:rsid w:val="0018314C"/>
    <w:rsid w:val="001873F2"/>
    <w:rsid w:val="001B05C1"/>
    <w:rsid w:val="001D3BCA"/>
    <w:rsid w:val="001E442C"/>
    <w:rsid w:val="001E479D"/>
    <w:rsid w:val="001E6F84"/>
    <w:rsid w:val="001E7E91"/>
    <w:rsid w:val="002006D5"/>
    <w:rsid w:val="00205FAC"/>
    <w:rsid w:val="00207AE1"/>
    <w:rsid w:val="00211906"/>
    <w:rsid w:val="0021300B"/>
    <w:rsid w:val="0022678A"/>
    <w:rsid w:val="002317B9"/>
    <w:rsid w:val="00237ACF"/>
    <w:rsid w:val="002436CB"/>
    <w:rsid w:val="00244792"/>
    <w:rsid w:val="00244FB6"/>
    <w:rsid w:val="00251538"/>
    <w:rsid w:val="00251691"/>
    <w:rsid w:val="00261C2F"/>
    <w:rsid w:val="00262116"/>
    <w:rsid w:val="00263CBB"/>
    <w:rsid w:val="00277790"/>
    <w:rsid w:val="00277F1B"/>
    <w:rsid w:val="00295674"/>
    <w:rsid w:val="002A5CDC"/>
    <w:rsid w:val="002B0B9C"/>
    <w:rsid w:val="002B10A0"/>
    <w:rsid w:val="002B4CE5"/>
    <w:rsid w:val="002C1C35"/>
    <w:rsid w:val="002D2CB2"/>
    <w:rsid w:val="002D5587"/>
    <w:rsid w:val="002E4323"/>
    <w:rsid w:val="002E4D3E"/>
    <w:rsid w:val="002E5415"/>
    <w:rsid w:val="002F5B91"/>
    <w:rsid w:val="00300498"/>
    <w:rsid w:val="00303BC7"/>
    <w:rsid w:val="00306A51"/>
    <w:rsid w:val="00311BB5"/>
    <w:rsid w:val="003120A3"/>
    <w:rsid w:val="00323771"/>
    <w:rsid w:val="0032426A"/>
    <w:rsid w:val="00336083"/>
    <w:rsid w:val="00337D33"/>
    <w:rsid w:val="00356918"/>
    <w:rsid w:val="00362F13"/>
    <w:rsid w:val="0036527B"/>
    <w:rsid w:val="003736CB"/>
    <w:rsid w:val="00384ADA"/>
    <w:rsid w:val="00384E6D"/>
    <w:rsid w:val="003A2EF2"/>
    <w:rsid w:val="003A4B43"/>
    <w:rsid w:val="003A7CC4"/>
    <w:rsid w:val="003B2C17"/>
    <w:rsid w:val="003D0642"/>
    <w:rsid w:val="003D26DB"/>
    <w:rsid w:val="003D38EC"/>
    <w:rsid w:val="003E78A9"/>
    <w:rsid w:val="003F6810"/>
    <w:rsid w:val="004127D5"/>
    <w:rsid w:val="004236D2"/>
    <w:rsid w:val="004275E7"/>
    <w:rsid w:val="00432A63"/>
    <w:rsid w:val="004361E6"/>
    <w:rsid w:val="0043682F"/>
    <w:rsid w:val="0044105E"/>
    <w:rsid w:val="004738C0"/>
    <w:rsid w:val="00475821"/>
    <w:rsid w:val="004A2497"/>
    <w:rsid w:val="004A5C05"/>
    <w:rsid w:val="004B256E"/>
    <w:rsid w:val="004B2B1D"/>
    <w:rsid w:val="004C5E4D"/>
    <w:rsid w:val="004C64C7"/>
    <w:rsid w:val="004C6CF4"/>
    <w:rsid w:val="004C7427"/>
    <w:rsid w:val="004C79EF"/>
    <w:rsid w:val="004D0652"/>
    <w:rsid w:val="004E3C92"/>
    <w:rsid w:val="005227C1"/>
    <w:rsid w:val="00523A5C"/>
    <w:rsid w:val="00541682"/>
    <w:rsid w:val="0054273B"/>
    <w:rsid w:val="00551FE8"/>
    <w:rsid w:val="00566B44"/>
    <w:rsid w:val="00577CE0"/>
    <w:rsid w:val="005839F9"/>
    <w:rsid w:val="00583FB9"/>
    <w:rsid w:val="00584F67"/>
    <w:rsid w:val="005872A4"/>
    <w:rsid w:val="00597E87"/>
    <w:rsid w:val="005A5762"/>
    <w:rsid w:val="005A61DC"/>
    <w:rsid w:val="005C05F9"/>
    <w:rsid w:val="005E276E"/>
    <w:rsid w:val="005E3E0D"/>
    <w:rsid w:val="005F13E9"/>
    <w:rsid w:val="005F33C9"/>
    <w:rsid w:val="005F501D"/>
    <w:rsid w:val="00604523"/>
    <w:rsid w:val="006068A1"/>
    <w:rsid w:val="0061481D"/>
    <w:rsid w:val="00625474"/>
    <w:rsid w:val="0064063D"/>
    <w:rsid w:val="00647CC8"/>
    <w:rsid w:val="0065361D"/>
    <w:rsid w:val="00662C9D"/>
    <w:rsid w:val="0068394F"/>
    <w:rsid w:val="006867BD"/>
    <w:rsid w:val="006965E6"/>
    <w:rsid w:val="006A1B60"/>
    <w:rsid w:val="006A7B28"/>
    <w:rsid w:val="006B1B60"/>
    <w:rsid w:val="006B318B"/>
    <w:rsid w:val="006B335C"/>
    <w:rsid w:val="006D6047"/>
    <w:rsid w:val="007256EF"/>
    <w:rsid w:val="00743886"/>
    <w:rsid w:val="00744054"/>
    <w:rsid w:val="00747699"/>
    <w:rsid w:val="00763039"/>
    <w:rsid w:val="007732B0"/>
    <w:rsid w:val="00797E7E"/>
    <w:rsid w:val="007A3506"/>
    <w:rsid w:val="007B3CA7"/>
    <w:rsid w:val="007B6D79"/>
    <w:rsid w:val="007B7AE1"/>
    <w:rsid w:val="007C5270"/>
    <w:rsid w:val="007C6A46"/>
    <w:rsid w:val="007E5FE6"/>
    <w:rsid w:val="007E6245"/>
    <w:rsid w:val="007F01AB"/>
    <w:rsid w:val="007F54EA"/>
    <w:rsid w:val="008011AF"/>
    <w:rsid w:val="0080357C"/>
    <w:rsid w:val="0082021D"/>
    <w:rsid w:val="008255F5"/>
    <w:rsid w:val="008273E9"/>
    <w:rsid w:val="008329D0"/>
    <w:rsid w:val="008402A8"/>
    <w:rsid w:val="0084035E"/>
    <w:rsid w:val="00852E02"/>
    <w:rsid w:val="0086138B"/>
    <w:rsid w:val="008634D7"/>
    <w:rsid w:val="00864C3B"/>
    <w:rsid w:val="008929B8"/>
    <w:rsid w:val="008A0297"/>
    <w:rsid w:val="008A3D4B"/>
    <w:rsid w:val="008A5330"/>
    <w:rsid w:val="008B2DFE"/>
    <w:rsid w:val="008B4982"/>
    <w:rsid w:val="008C667D"/>
    <w:rsid w:val="008E0ECA"/>
    <w:rsid w:val="008E2EE4"/>
    <w:rsid w:val="008F2926"/>
    <w:rsid w:val="008F3E66"/>
    <w:rsid w:val="008F4187"/>
    <w:rsid w:val="009134BB"/>
    <w:rsid w:val="00916900"/>
    <w:rsid w:val="00921E00"/>
    <w:rsid w:val="00947F1D"/>
    <w:rsid w:val="0097664B"/>
    <w:rsid w:val="009848BE"/>
    <w:rsid w:val="00987C76"/>
    <w:rsid w:val="00991208"/>
    <w:rsid w:val="009951D9"/>
    <w:rsid w:val="009A2A2F"/>
    <w:rsid w:val="009B3034"/>
    <w:rsid w:val="009B5378"/>
    <w:rsid w:val="009C33C9"/>
    <w:rsid w:val="009C64DE"/>
    <w:rsid w:val="009C769F"/>
    <w:rsid w:val="009C7F96"/>
    <w:rsid w:val="009D1B25"/>
    <w:rsid w:val="009D6EFC"/>
    <w:rsid w:val="009E31D6"/>
    <w:rsid w:val="009E4B10"/>
    <w:rsid w:val="009E6E83"/>
    <w:rsid w:val="00A02CD5"/>
    <w:rsid w:val="00A06823"/>
    <w:rsid w:val="00A147FD"/>
    <w:rsid w:val="00A15FF9"/>
    <w:rsid w:val="00A2183E"/>
    <w:rsid w:val="00A24CB0"/>
    <w:rsid w:val="00A40624"/>
    <w:rsid w:val="00A55F50"/>
    <w:rsid w:val="00A607F4"/>
    <w:rsid w:val="00A60AA6"/>
    <w:rsid w:val="00A671C9"/>
    <w:rsid w:val="00A87281"/>
    <w:rsid w:val="00A95A0F"/>
    <w:rsid w:val="00AB1156"/>
    <w:rsid w:val="00AB1662"/>
    <w:rsid w:val="00AB3DDF"/>
    <w:rsid w:val="00AD2EE6"/>
    <w:rsid w:val="00AD51E3"/>
    <w:rsid w:val="00AE3A50"/>
    <w:rsid w:val="00AF29D1"/>
    <w:rsid w:val="00AF4C04"/>
    <w:rsid w:val="00B01B85"/>
    <w:rsid w:val="00B0262D"/>
    <w:rsid w:val="00B1044C"/>
    <w:rsid w:val="00B209CE"/>
    <w:rsid w:val="00B2174B"/>
    <w:rsid w:val="00B235BA"/>
    <w:rsid w:val="00B279E8"/>
    <w:rsid w:val="00B27E54"/>
    <w:rsid w:val="00B302EC"/>
    <w:rsid w:val="00B33E73"/>
    <w:rsid w:val="00B41D4E"/>
    <w:rsid w:val="00B472B5"/>
    <w:rsid w:val="00B51734"/>
    <w:rsid w:val="00B62983"/>
    <w:rsid w:val="00B640C2"/>
    <w:rsid w:val="00B6652A"/>
    <w:rsid w:val="00B66DAD"/>
    <w:rsid w:val="00B762D0"/>
    <w:rsid w:val="00B764E9"/>
    <w:rsid w:val="00B92480"/>
    <w:rsid w:val="00B93658"/>
    <w:rsid w:val="00B93B3C"/>
    <w:rsid w:val="00BA0F2D"/>
    <w:rsid w:val="00BA1048"/>
    <w:rsid w:val="00BA2402"/>
    <w:rsid w:val="00BA5294"/>
    <w:rsid w:val="00BA6613"/>
    <w:rsid w:val="00BB0D92"/>
    <w:rsid w:val="00BB35EA"/>
    <w:rsid w:val="00BB7008"/>
    <w:rsid w:val="00BB74E9"/>
    <w:rsid w:val="00BC17DF"/>
    <w:rsid w:val="00BC72AC"/>
    <w:rsid w:val="00BD31DA"/>
    <w:rsid w:val="00BE3238"/>
    <w:rsid w:val="00BE6A8A"/>
    <w:rsid w:val="00BE7544"/>
    <w:rsid w:val="00C104F5"/>
    <w:rsid w:val="00C111DE"/>
    <w:rsid w:val="00C216F1"/>
    <w:rsid w:val="00C248B1"/>
    <w:rsid w:val="00C25EC5"/>
    <w:rsid w:val="00C36E59"/>
    <w:rsid w:val="00C60488"/>
    <w:rsid w:val="00C74AD5"/>
    <w:rsid w:val="00C81239"/>
    <w:rsid w:val="00C824FF"/>
    <w:rsid w:val="00C9501F"/>
    <w:rsid w:val="00CA7AFE"/>
    <w:rsid w:val="00CC7880"/>
    <w:rsid w:val="00CD0C45"/>
    <w:rsid w:val="00CD0D80"/>
    <w:rsid w:val="00CD35F5"/>
    <w:rsid w:val="00CE5C74"/>
    <w:rsid w:val="00CF34F8"/>
    <w:rsid w:val="00CF5B08"/>
    <w:rsid w:val="00D11A36"/>
    <w:rsid w:val="00D1521D"/>
    <w:rsid w:val="00D37F5F"/>
    <w:rsid w:val="00D4148D"/>
    <w:rsid w:val="00D43FF7"/>
    <w:rsid w:val="00D83486"/>
    <w:rsid w:val="00DB091B"/>
    <w:rsid w:val="00DB4AE0"/>
    <w:rsid w:val="00DC5057"/>
    <w:rsid w:val="00DC5EEA"/>
    <w:rsid w:val="00DC783F"/>
    <w:rsid w:val="00DE6049"/>
    <w:rsid w:val="00DF5E08"/>
    <w:rsid w:val="00DF6680"/>
    <w:rsid w:val="00DF76A3"/>
    <w:rsid w:val="00DF7D55"/>
    <w:rsid w:val="00E14883"/>
    <w:rsid w:val="00E178AB"/>
    <w:rsid w:val="00E34650"/>
    <w:rsid w:val="00E37F5E"/>
    <w:rsid w:val="00E439B1"/>
    <w:rsid w:val="00E534FA"/>
    <w:rsid w:val="00E6193D"/>
    <w:rsid w:val="00E61F20"/>
    <w:rsid w:val="00E70690"/>
    <w:rsid w:val="00E70C40"/>
    <w:rsid w:val="00E742F9"/>
    <w:rsid w:val="00E82E2B"/>
    <w:rsid w:val="00E92530"/>
    <w:rsid w:val="00E93259"/>
    <w:rsid w:val="00EA2F8F"/>
    <w:rsid w:val="00EA4419"/>
    <w:rsid w:val="00EB0D1F"/>
    <w:rsid w:val="00EB16B7"/>
    <w:rsid w:val="00EC02B7"/>
    <w:rsid w:val="00EC3D08"/>
    <w:rsid w:val="00EE0C41"/>
    <w:rsid w:val="00EF4A68"/>
    <w:rsid w:val="00F05EA6"/>
    <w:rsid w:val="00F06F5C"/>
    <w:rsid w:val="00F11D92"/>
    <w:rsid w:val="00F204D1"/>
    <w:rsid w:val="00F262DD"/>
    <w:rsid w:val="00F3200F"/>
    <w:rsid w:val="00F359E6"/>
    <w:rsid w:val="00F412C7"/>
    <w:rsid w:val="00F5295D"/>
    <w:rsid w:val="00F622C5"/>
    <w:rsid w:val="00F634F7"/>
    <w:rsid w:val="00F8538F"/>
    <w:rsid w:val="00FA0642"/>
    <w:rsid w:val="00FA5D18"/>
    <w:rsid w:val="00FB0956"/>
    <w:rsid w:val="00FB3EBB"/>
    <w:rsid w:val="00FC5B4E"/>
    <w:rsid w:val="00FC78CD"/>
    <w:rsid w:val="00FD1742"/>
    <w:rsid w:val="00FE0BDA"/>
    <w:rsid w:val="00FE1419"/>
    <w:rsid w:val="00FF1E61"/>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D761B"/>
  <w15:chartTrackingRefBased/>
  <w15:docId w15:val="{EB011437-5D06-4A28-803F-BE3CCBEE2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24"/>
  </w:style>
  <w:style w:type="paragraph" w:styleId="Heading1">
    <w:name w:val="heading 1"/>
    <w:basedOn w:val="Normal"/>
    <w:next w:val="Normal"/>
    <w:link w:val="Heading1Char"/>
    <w:uiPriority w:val="9"/>
    <w:qFormat/>
    <w:rsid w:val="00BA5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29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29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A529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529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529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529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529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2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29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29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A529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A529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A529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A529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A529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A5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9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9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A5294"/>
    <w:pPr>
      <w:spacing w:before="160"/>
      <w:jc w:val="center"/>
    </w:pPr>
    <w:rPr>
      <w:i/>
      <w:iCs/>
      <w:color w:val="404040" w:themeColor="text1" w:themeTint="BF"/>
    </w:rPr>
  </w:style>
  <w:style w:type="character" w:customStyle="1" w:styleId="QuoteChar">
    <w:name w:val="Quote Char"/>
    <w:basedOn w:val="DefaultParagraphFont"/>
    <w:link w:val="Quote"/>
    <w:uiPriority w:val="29"/>
    <w:rsid w:val="00BA5294"/>
    <w:rPr>
      <w:i/>
      <w:iCs/>
      <w:color w:val="404040" w:themeColor="text1" w:themeTint="BF"/>
    </w:rPr>
  </w:style>
  <w:style w:type="paragraph" w:styleId="ListParagraph">
    <w:name w:val="List Paragraph"/>
    <w:basedOn w:val="Normal"/>
    <w:uiPriority w:val="34"/>
    <w:qFormat/>
    <w:rsid w:val="00BA5294"/>
    <w:pPr>
      <w:ind w:left="720"/>
      <w:contextualSpacing/>
    </w:pPr>
  </w:style>
  <w:style w:type="character" w:styleId="IntenseEmphasis">
    <w:name w:val="Intense Emphasis"/>
    <w:basedOn w:val="DefaultParagraphFont"/>
    <w:uiPriority w:val="21"/>
    <w:qFormat/>
    <w:rsid w:val="00BA5294"/>
    <w:rPr>
      <w:i/>
      <w:iCs/>
      <w:color w:val="0F4761" w:themeColor="accent1" w:themeShade="BF"/>
    </w:rPr>
  </w:style>
  <w:style w:type="paragraph" w:styleId="IntenseQuote">
    <w:name w:val="Intense Quote"/>
    <w:basedOn w:val="Normal"/>
    <w:next w:val="Normal"/>
    <w:link w:val="IntenseQuoteChar"/>
    <w:uiPriority w:val="30"/>
    <w:qFormat/>
    <w:rsid w:val="00BA5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294"/>
    <w:rPr>
      <w:i/>
      <w:iCs/>
      <w:color w:val="0F4761" w:themeColor="accent1" w:themeShade="BF"/>
    </w:rPr>
  </w:style>
  <w:style w:type="character" w:styleId="IntenseReference">
    <w:name w:val="Intense Reference"/>
    <w:basedOn w:val="DefaultParagraphFont"/>
    <w:uiPriority w:val="32"/>
    <w:qFormat/>
    <w:rsid w:val="00BA5294"/>
    <w:rPr>
      <w:b/>
      <w:bCs/>
      <w:smallCaps/>
      <w:color w:val="0F4761" w:themeColor="accent1" w:themeShade="BF"/>
      <w:spacing w:val="5"/>
    </w:rPr>
  </w:style>
  <w:style w:type="character" w:styleId="PlaceholderText">
    <w:name w:val="Placeholder Text"/>
    <w:basedOn w:val="DefaultParagraphFont"/>
    <w:uiPriority w:val="99"/>
    <w:semiHidden/>
    <w:rsid w:val="00087E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8aac226-2f03-4b4d-9037-b46d56c55210}" enabled="0" method="" siteId="{78aac226-2f03-4b4d-9037-b46d56c55210}" removed="1"/>
</clbl:labelList>
</file>

<file path=docProps/app.xml><?xml version="1.0" encoding="utf-8"?>
<Properties xmlns="http://schemas.openxmlformats.org/officeDocument/2006/extended-properties" xmlns:vt="http://schemas.openxmlformats.org/officeDocument/2006/docPropsVTypes">
  <Template>Normal</Template>
  <TotalTime>5740</TotalTime>
  <Pages>4</Pages>
  <Words>1058</Words>
  <Characters>6031</Characters>
  <Application>Microsoft Office Word</Application>
  <DocSecurity>0</DocSecurity>
  <Lines>50</Lines>
  <Paragraphs>14</Paragraphs>
  <ScaleCrop>false</ScaleCrop>
  <Company/>
  <LinksUpToDate>false</LinksUpToDate>
  <CharactersWithSpaces>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Sallam Saka</dc:creator>
  <cp:keywords/>
  <dc:description/>
  <cp:lastModifiedBy>Sallam Saka</cp:lastModifiedBy>
  <cp:revision>337</cp:revision>
  <dcterms:created xsi:type="dcterms:W3CDTF">2026-03-23T00:27:00Z</dcterms:created>
  <dcterms:modified xsi:type="dcterms:W3CDTF">2026-03-27T04:53:00Z</dcterms:modified>
</cp:coreProperties>
</file>