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xccoxqcefy8e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Lección 10: ¿Por qué algunos objetos se rompen o no se rompen en una colisión?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1857.0522979397783"/>
        <w:gridCol w:w="8222.947702060223"/>
        <w:tblGridChange w:id="0">
          <w:tblGrid>
            <w:gridCol w:w="1857.0522979397783"/>
            <w:gridCol w:w="8222.947702060223"/>
          </w:tblGrid>
        </w:tblGridChange>
      </w:tblGrid>
      <w:tr>
        <w:trPr>
          <w:cantSplit w:val="0"/>
          <w:trHeight w:val="7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Navegación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1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Discuta estas preguntas con su clase: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Hemos aprendido mucho sobre lo que puede afectar el movimiento de los objetos y cómo esos objetos interactúan en una colisión para causar daño o no causar daño. Anotemos lo que hemos aprendido en nuestro póster de Grandes ideas.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y explicar los tipos de colisiones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clase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515815" cy="523875"/>
                  <wp:effectExtent b="0" l="0" r="0" t="0"/>
                  <wp:docPr descr="class" id="3" name="image1.png"/>
                  <a:graphic>
                    <a:graphicData uri="http://schemas.openxmlformats.org/drawingml/2006/picture">
                      <pic:pic>
                        <pic:nvPicPr>
                          <pic:cNvPr descr="class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Recuerde los 3 tipos principales de colisiones que hemos categorizado: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Tipo de colisión A: un objeto en movimiento resultó dañado O no resultó dañado cuando chocó con un objeto inmóvil.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Tipo de colisión B: un objeto inmóvil resultó dañado O no resultó dañado cuando un objeto en movimiento chocó con él.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Tipo de colisión C: un objeto en movimiento resultó dañado O no resultó dañado cuando chocó con otro objeto en movimiento.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3. ¿Cree que podemos explicar mejor por qué algunos objetos se rompieron en esas colisiones y otros no?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Explicando diferentes tipos de colisiones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  <w:rtl w:val="0"/>
              </w:rPr>
              <w:t xml:space="preserve">Con su grupo</w:t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838200" cy="523875"/>
                  <wp:effectExtent b="0" l="0" r="0" t="0"/>
                  <wp:docPr descr="group" id="2" name="image2.png"/>
                  <a:graphic>
                    <a:graphicData uri="http://schemas.openxmlformats.org/drawingml/2006/picture">
                      <pic:pic>
                        <pic:nvPicPr>
                          <pic:cNvPr descr="group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4. Siga las instrucciones de su maestro y use el papel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Explicando una colisión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para investigar los tipos de colisiones con su grupo.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Retroalimentación entre compañeros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un compañero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5" name="image4.png"/>
                  <a:graphic>
                    <a:graphicData uri="http://schemas.openxmlformats.org/drawingml/2006/picture">
                      <pic:pic>
                        <pic:nvPicPr>
                          <pic:cNvPr descr="partner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5. Trabaje con alguien que tenga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el mismo tipo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de colisión que usted. Comparta sus dos ideas sobre la pregunta 3, luego dé su opinión utilizando las siguientes preguntas: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tienen de parecido sus cajas? ¿Qué es diferente?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¿Está de acuerdo o en desacuerdo con los factores que podrían cambiar el resultado de una colisión en el recuadro 3?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cambios sugeriría según el modelo de su compañero?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6. Trabaje con alguien que tenga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un tipo de colisión diferente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al suyo. Comparta sus dos ideas sobre la pregunta 3, luego responda las siguientes preguntas con su compañero: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tienen de parecido sus cajas? ¿Qué es diferente?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¿Las diferencias tienen sentido basado en sus diferentes tipos de colisiones? ¿Por qué sí o por qué no?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¿Ve algo en las casillas de su compañero que le gustaría agregar a sus casillas?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¿Qué cambios sugeriría en base a las cajas de su compañero?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el RPM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Con un compañero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32619" cy="523875"/>
                  <wp:effectExtent b="0" l="0" r="0" t="0"/>
                  <wp:docPr descr="partner" id="4" name="image4.png"/>
                  <a:graphic>
                    <a:graphicData uri="http://schemas.openxmlformats.org/drawingml/2006/picture">
                      <pic:pic>
                        <pic:nvPicPr>
                          <pic:cNvPr descr="partner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7. Discuta las siguientes preguntas con un compañero: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63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¿En qué áreas del RPM hemos avanzado?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63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¿Hay alguna pregunta específica que podamos responder ahora que no pudimos responder la última vez?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Evaluación de la lección 10</w:t>
            </w:r>
          </w:p>
        </w:tc>
      </w:tr>
      <w:tr>
        <w:trPr>
          <w:cantSplit w:val="0"/>
          <w:trHeight w:val="1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  <w:rtl w:val="0"/>
              </w:rPr>
              <w:t xml:space="preserve">Trabajo independiente</w:t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9a2f3e"/>
                <w:sz w:val="24"/>
                <w:szCs w:val="24"/>
                <w:vertAlign w:val="baseline"/>
              </w:rPr>
              <w:drawing>
                <wp:inline distB="19050" distT="19050" distL="19050" distR="19050">
                  <wp:extent cx="444079" cy="523875"/>
                  <wp:effectExtent b="0" l="0" r="0" t="0"/>
                  <wp:docPr descr="self" id="6" name="image3.png"/>
                  <a:graphic>
                    <a:graphicData uri="http://schemas.openxmlformats.org/drawingml/2006/picture">
                      <pic:pic>
                        <pic:nvPicPr>
                          <pic:cNvPr descr="self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79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8. Hemos aprendido mucho sobre daños y colisiones. ¡Veamos si podemos aplicar nuestro nuevo aprendizaje a un escenario de béisbol! Siga las instrucciones de su maestro para completar la evaluación de la Lección 10.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Haga todo lo posible por responder las preguntas de la evaluación.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ind w:left="720" w:hanging="360"/>
              <w:rPr/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Cuando haya terminado, entregue la evaluación de la Lección 10 a su maestro.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