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2" w:type="dxa"/>
        <w:jc w:val="left"/>
        <w:tblLayout w:type="fixed"/>
        <w:tblLook w:val="0600"/>
      </w:tblPr>
      <w:tblGrid>
        <w:gridCol w:w="8640.000000000002"/>
        <w:gridCol w:w="5760"/>
        <w:tblGridChange w:id="0">
          <w:tblGrid>
            <w:gridCol w:w="8640.000000000002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kzwe3z7ef587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6gnw6nywahz" w:id="1"/>
    <w:bookmarkEnd w:id="1"/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Matriz de decisiones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Evaluar nuestros diseños frente a los comentarios de las partes interesadas en una escala del 1 al 5.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5 puntos significa que el diseño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 cumple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muy bien el criterio o la restricción.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1 punto significa que el material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no cumple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con el criterio o la restricción.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3.999996185305" w:type="dxa"/>
        <w:jc w:val="left"/>
        <w:tblInd w:w="256.00000381469727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020.1099361476133"/>
        <w:gridCol w:w="1020.1099361476133"/>
        <w:gridCol w:w="1020.1099361476133"/>
        <w:gridCol w:w="1020.1099361476133"/>
        <w:gridCol w:w="1020.1099361476133"/>
        <w:gridCol w:w="1020.1099361476133"/>
        <w:gridCol w:w="1020.1099361476133"/>
        <w:gridCol w:w="1020.1099361476133"/>
        <w:gridCol w:w="943.120507004397"/>
        <w:tblGridChange w:id="0">
          <w:tblGrid>
            <w:gridCol w:w="1020.1099361476133"/>
            <w:gridCol w:w="1020.1099361476133"/>
            <w:gridCol w:w="1020.1099361476133"/>
            <w:gridCol w:w="1020.1099361476133"/>
            <w:gridCol w:w="1020.1099361476133"/>
            <w:gridCol w:w="1020.1099361476133"/>
            <w:gridCol w:w="1020.1099361476133"/>
            <w:gridCol w:w="1020.1099361476133"/>
            <w:gridCol w:w="943.12050700439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Elección de material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#1</w:t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</w:t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#2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#3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#4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</w:t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#5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</w:t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#6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Puntos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totales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