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58yghhdv6ylm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Matriz de consideraciones de materiales adicionales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81.53846080487" w:type="dxa"/>
        <w:jc w:val="left"/>
        <w:tblInd w:w="12.000000476837158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352.055943986977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tblGridChange w:id="0">
          <w:tblGrid>
            <w:gridCol w:w="1352.055943986977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</w:tblGrid>
        </w:tblGridChange>
      </w:tblGrid>
      <w:tr>
        <w:trPr>
          <w:cantSplit w:val="0"/>
          <w:trHeight w:val="8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Reducción de fuerza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Reutilizable</w:t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(puede soportar múltiples impactos)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Robusto</w:t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(bueno para artículos pesados)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Reciclable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auto" w:val="clear"/>
                <w:vertAlign w:val="baseline"/>
                <w:rtl w:val="0"/>
              </w:rPr>
              <w:t xml:space="preserve">(aceptado por servicio de reciclaje de la ciudad)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Biodegradable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(compostable en el patio)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Bajo costo de material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Bajo costo para trabajar con el material en un diseño.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Agua utilizada para la producción</w:t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No contribuye al cambio climático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Bolas de algodón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Madera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Uretano</w:t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(Tapones para los oídos)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Espuma de poliestireno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Cartón corrugado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Papel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Almohadas de aire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Plástico de burbujas grandes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Plástico de burbujas pequenas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9a2f3e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Fuente de datos: Michigan State University, School of Packaging</w:t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9" Type="http://schemas.openxmlformats.org/officeDocument/2006/relationships/font" Target="fonts/Boogaloo-regular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