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v5v2tp11mc88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Additional Material Considerations Matrix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81.53846080487" w:type="dxa"/>
        <w:jc w:val="left"/>
        <w:tblInd w:w="12.000000476837158" w:type="dxa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352.055943986977"/>
        <w:gridCol w:w="1447.7202796464326"/>
        <w:gridCol w:w="1447.7202796464326"/>
        <w:gridCol w:w="1447.7202796464326"/>
        <w:gridCol w:w="1447.7202796464326"/>
        <w:gridCol w:w="1447.7202796464326"/>
        <w:gridCol w:w="1447.7202796464326"/>
        <w:gridCol w:w="1447.7202796464326"/>
        <w:gridCol w:w="1447.7202796464326"/>
        <w:gridCol w:w="1447.7202796464326"/>
        <w:tblGridChange w:id="0">
          <w:tblGrid>
            <w:gridCol w:w="1352.055943986977"/>
            <w:gridCol w:w="1447.7202796464326"/>
            <w:gridCol w:w="1447.7202796464326"/>
            <w:gridCol w:w="1447.7202796464326"/>
            <w:gridCol w:w="1447.7202796464326"/>
            <w:gridCol w:w="1447.7202796464326"/>
            <w:gridCol w:w="1447.7202796464326"/>
            <w:gridCol w:w="1447.7202796464326"/>
            <w:gridCol w:w="1447.7202796464326"/>
            <w:gridCol w:w="1447.7202796464326"/>
          </w:tblGrid>
        </w:tblGridChange>
      </w:tblGrid>
      <w:tr>
        <w:trPr>
          <w:cantSplit w:val="0"/>
          <w:trHeight w:val="85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Material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Force reduction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Reusable</w:t>
            </w:r>
          </w:p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(can withstand multiple impacts)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Robust</w:t>
            </w:r>
          </w:p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(good for heavy items)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Recyclable</w:t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(accepted in curbside recycling)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Biodegradable</w:t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(backyard compostable)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Low material cost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Low cost to work with the material in a design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Water used for production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vertAlign w:val="baseline"/>
                <w:rtl w:val="0"/>
              </w:rPr>
              <w:t xml:space="preserve">Does not contribute to climate change</w:t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Cotton balls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Wood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Urethane</w:t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(earplugs)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Styrofoam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Corrugated cardboard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Paper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Air pillows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Large bubble wrap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Small bubble wrap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 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0.0" w:type="dxa"/>
              <w:left w:w="108.00000190734863" w:type="dxa"/>
              <w:bottom w:w="0.0" w:type="dxa"/>
              <w:right w:w="108.00000190734863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mo" w:cs="Arimo" w:eastAsia="Arimo" w:hAnsi="Arimo"/>
                <w:sz w:val="28"/>
                <w:szCs w:val="28"/>
                <w:vertAlign w:val="baseline"/>
                <w:rtl w:val="0"/>
              </w:rPr>
              <w:t xml:space="preserve">● ● 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Source: Michigan State University, School of Packaging</w:t>
      </w:r>
    </w:p>
    <w:sectPr>
      <w:footerReference r:id="rId6" w:type="default"/>
      <w:pgSz w:h="12240" w:w="15840" w:orient="landscape"/>
      <w:pgMar w:bottom="1080" w:top="108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b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oogaloo">
    <w:embedRegular w:fontKey="{00000000-0000-0000-0000-000000000000}" r:id="rId9" w:subsetted="0"/>
  </w:font>
  <w:font w:name="Cabin Condensed">
    <w:embedRegular w:fontKey="{00000000-0000-0000-0000-000000000000}" r:id="rId10" w:subsetted="0"/>
    <w:embedBold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E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F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0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1" Type="http://schemas.openxmlformats.org/officeDocument/2006/relationships/font" Target="fonts/CabinCondensed-bold.ttf"/><Relationship Id="rId10" Type="http://schemas.openxmlformats.org/officeDocument/2006/relationships/font" Target="fonts/CabinCondensed-regular.ttf"/><Relationship Id="rId9" Type="http://schemas.openxmlformats.org/officeDocument/2006/relationships/font" Target="fonts/Boogaloo-regular.ttf"/><Relationship Id="rId5" Type="http://schemas.openxmlformats.org/officeDocument/2006/relationships/font" Target="fonts/Cabin-regular.ttf"/><Relationship Id="rId6" Type="http://schemas.openxmlformats.org/officeDocument/2006/relationships/font" Target="fonts/Cabin-bold.ttf"/><Relationship Id="rId7" Type="http://schemas.openxmlformats.org/officeDocument/2006/relationships/font" Target="fonts/Cabin-italic.ttf"/><Relationship Id="rId8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