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Lesson 15 Teacher Reference</w:t>
      </w:r>
    </w:p>
    <w:bookmarkStart w:colFirst="0" w:colLast="0" w:name="vir2d9bvjjlz" w:id="0"/>
    <w:bookmarkEnd w:id="0"/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Item alignment guide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0000000000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69.23076923077"/>
        <w:gridCol w:w="402.7972027972029"/>
        <w:gridCol w:w="402.7972027972029"/>
        <w:gridCol w:w="402.7972027972029"/>
        <w:gridCol w:w="402.7972027972029"/>
        <w:gridCol w:w="402.7972027972029"/>
        <w:gridCol w:w="402.7972027972029"/>
        <w:gridCol w:w="402.7972027972029"/>
        <w:gridCol w:w="402.7972027972029"/>
        <w:gridCol w:w="402.7972027972029"/>
        <w:gridCol w:w="402.7972027972029"/>
        <w:gridCol w:w="402.7972027972029"/>
        <w:tblGridChange w:id="0">
          <w:tblGrid>
            <w:gridCol w:w="9969.23076923077"/>
            <w:gridCol w:w="402.7972027972029"/>
            <w:gridCol w:w="402.7972027972029"/>
            <w:gridCol w:w="402.7972027972029"/>
            <w:gridCol w:w="402.7972027972029"/>
            <w:gridCol w:w="402.7972027972029"/>
            <w:gridCol w:w="402.7972027972029"/>
            <w:gridCol w:w="402.7972027972029"/>
            <w:gridCol w:w="402.7972027972029"/>
            <w:gridCol w:w="402.7972027972029"/>
            <w:gridCol w:w="402.7972027972029"/>
            <w:gridCol w:w="402.797202797202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282828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22"/>
                <w:szCs w:val="22"/>
                <w:vertAlign w:val="baseline"/>
                <w:rtl w:val="0"/>
              </w:rPr>
              <w:t xml:space="preserve">Alignment between Lesson 15 assessment questions</w:t>
            </w:r>
          </w:p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282828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22"/>
                <w:szCs w:val="22"/>
                <w:vertAlign w:val="baseline"/>
                <w:rtl w:val="0"/>
              </w:rPr>
              <w:t xml:space="preserve">and related SEPs, DCIs, and CCCs</w:t>
            </w:r>
          </w:p>
        </w:tc>
        <w:tc>
          <w:tcPr>
            <w:gridSpan w:val="6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33333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333333"/>
                <w:sz w:val="16"/>
                <w:szCs w:val="16"/>
                <w:shd w:fill="auto" w:val="clear"/>
                <w:vertAlign w:val="baseline"/>
                <w:rtl w:val="0"/>
              </w:rPr>
              <w:t xml:space="preserve">Part 1 </w:t>
            </w:r>
            <w:r w:rsidDel="00000000" w:rsidR="00000000" w:rsidRPr="00000000">
              <w:rPr>
                <w:rFonts w:ascii="Cabin" w:cs="Cabin" w:eastAsia="Cabin" w:hAnsi="Cabin"/>
                <w:color w:val="333333"/>
                <w:sz w:val="16"/>
                <w:szCs w:val="16"/>
                <w:shd w:fill="auto" w:val="clear"/>
                <w:vertAlign w:val="baseline"/>
                <w:rtl w:val="0"/>
              </w:rPr>
              <w:t xml:space="preserve">Questions</w:t>
            </w:r>
          </w:p>
        </w:tc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33333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333333"/>
                <w:sz w:val="16"/>
                <w:szCs w:val="16"/>
                <w:shd w:fill="auto" w:val="clear"/>
                <w:vertAlign w:val="baseline"/>
                <w:rtl w:val="0"/>
              </w:rPr>
              <w:t xml:space="preserve">Part 2 </w:t>
            </w:r>
            <w:r w:rsidDel="00000000" w:rsidR="00000000" w:rsidRPr="00000000">
              <w:rPr>
                <w:rFonts w:ascii="Cabin" w:cs="Cabin" w:eastAsia="Cabin" w:hAnsi="Cabin"/>
                <w:color w:val="333333"/>
                <w:sz w:val="16"/>
                <w:szCs w:val="16"/>
                <w:shd w:fill="auto" w:val="clear"/>
                <w:vertAlign w:val="baseline"/>
                <w:rtl w:val="0"/>
              </w:rPr>
              <w:t xml:space="preserve">Questions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color w:val="333333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1a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1b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2a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2b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3a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6d7a8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3b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1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SEPs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trike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6.6, Constructing Explanations </w:t>
            </w:r>
            <w:r w:rsidDel="00000000" w:rsidR="00000000" w:rsidRPr="00000000">
              <w:rPr>
                <w:rFonts w:ascii="Cabin" w:cs="Cabin" w:eastAsia="Cabin" w:hAnsi="Cabin"/>
                <w:strike w:val="1"/>
                <w:sz w:val="16"/>
                <w:szCs w:val="16"/>
                <w:vertAlign w:val="baseline"/>
                <w:rtl w:val="0"/>
              </w:rPr>
              <w:t xml:space="preserve">or Designing a 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trike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trike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trike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trike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6.8 C</w:t>
            </w:r>
            <w:r w:rsidDel="00000000" w:rsidR="00000000" w:rsidRPr="00000000">
              <w:rPr>
                <w:rFonts w:ascii="Cabin" w:cs="Cabin" w:eastAsia="Cabin" w:hAnsi="Cabin"/>
                <w:strike w:val="1"/>
                <w:sz w:val="16"/>
                <w:szCs w:val="16"/>
                <w:vertAlign w:val="baseline"/>
                <w:rtl w:val="0"/>
              </w:rPr>
              <w:t xml:space="preserve">onstructing Explanations or</w:t>
            </w: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 Designing a 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2.5 Developing and Using Models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gridSpan w:val="1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Subideas of targeted DCIs and related key model ideas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All protection devices have some similar criteria and constraints; constraints vary based on a particular purpose or use case.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Device shape, material, and structure have something to do with protective devices reducing damage to an object.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Materials that reduce the peak forces in a collision reduce the forces equally on both objects that make contact during a collision.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Materials that reduce peak forces have similar structures, such as air pockets or space for air and the ability to deform when a contact force is applied.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More time in contact leads to a reduction in peak forces in a collision.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The more area forces are distributed over, the smaller the amount of peak force per unit area.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The net force of objects whose motion isn’t changing is 0 (e.g., a cushioner being compressed between two other objects).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When two objects are in contact with each other, forces are exerted on both objects in opposite directions; the strength of the force on one object is equal to the strength of the force on the other object.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All criteria cannot be perfectly met all the time for all designs; most design solutions take into consideration trade-offs.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Considerations can be ranked or prioritized to help make design changes or decisions.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An important criterion to consider is what the user or consumer of a solution wants.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Redesign is informed by evaluating possible trade-offs.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gridSpan w:val="1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CCCs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6.1, 6.2 Structure and function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7.1, 7.2 Stability and 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2.2 Cause and effect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16"/>
                <w:szCs w:val="16"/>
                <w:vertAlign w:val="baseline"/>
                <w:rtl w:val="0"/>
              </w:rPr>
              <w:t xml:space="preserve">4.1, 4.2 Systems and system models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ad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58.00000190734863" w:type="dxa"/>
              <w:left w:w="58.00000190734863" w:type="dxa"/>
              <w:bottom w:w="58.00000190734863" w:type="dxa"/>
              <w:right w:w="58.00000190734863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282828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color w:val="282828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1080" w:top="108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282828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7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8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129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2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282828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