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y081iueeddkt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Changes in Kinetic Energy: Investigations #1 &amp; 2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u w:val="single"/>
          <w:rtl w:val="0"/>
        </w:rPr>
        <w:t xml:space="preserve">Our question:</w:t>
      </w: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 How much does doubling the speed or doubling the mass affect the kinetic energy of an object and the resulting damage that it can do in a collision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Investigation 1: Damage Comparisons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84"/>
        <w:gridCol w:w="2140"/>
        <w:gridCol w:w="2140"/>
        <w:gridCol w:w="2140"/>
        <w:tblGridChange w:id="0">
          <w:tblGrid>
            <w:gridCol w:w="2684"/>
            <w:gridCol w:w="2140"/>
            <w:gridCol w:w="2140"/>
            <w:gridCol w:w="214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A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B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double: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length of the track (cm)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time to reach the end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of the track (seconds)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half: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average cart speed (cm/sec)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double:</w:t>
            </w:r>
          </w:p>
        </w:tc>
      </w:tr>
    </w:tbl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Investigation 2: Quantifying the Amount of Kinetic Energy for a Moving Object</w:t>
      </w:r>
    </w:p>
    <w:p w:rsidR="00000000" w:rsidDel="00000000" w:rsidP="00000000" w:rsidRDefault="00000000" w:rsidRPr="00000000" w14:paraId="0000002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0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84"/>
        <w:gridCol w:w="2140"/>
        <w:gridCol w:w="2140"/>
        <w:gridCol w:w="2140"/>
        <w:tblGridChange w:id="0">
          <w:tblGrid>
            <w:gridCol w:w="2684"/>
            <w:gridCol w:w="2140"/>
            <w:gridCol w:w="2140"/>
            <w:gridCol w:w="2140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The same spring-scale launcher positions (force in N)</w:t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were used for these conditions as were used in investigation 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mass (g)</w:t>
            </w:r>
          </w:p>
        </w:tc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double:</w:t>
            </w:r>
          </w:p>
        </w:tc>
        <w:tc>
          <w:tcPr>
            <w:tcBorders>
              <w:top w:color="ffffff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average cart speed (cm/sec)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double: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distance the box was pushed before</w:t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coming to a stop (cm)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