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cgsndf9xbaec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Graphing Kinetic Energy Relationships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5486400" cy="5524500"/>
            <wp:effectExtent b="0" l="0" r="0" t="0"/>
            <wp:docPr descr="Grid paper with a series of light blue horizontal and vertical lines forming small squares, grouped into larger squares. The grid lines are evenly spaced, creating a structured, uniform pattern across the page." id="1" name="image1.jpg"/>
            <a:graphic>
              <a:graphicData uri="http://schemas.openxmlformats.org/drawingml/2006/picture">
                <pic:pic>
                  <pic:nvPicPr>
                    <pic:cNvPr descr="Grid paper with a series of light blue horizontal and vertical lines forming small squares, grouped into larger squares. The grid lines are evenly spaced, creating a structured, uniform pattern across the page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