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k6ljywanpa64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Transferencias de energía y fuerzas de contacto en el sistema de lanzador, carro, pista y caja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356.5827486586876"/>
        <w:gridCol w:w="7926.834502682625"/>
        <w:gridCol w:w="356.5827486586876"/>
        <w:tblGridChange w:id="0">
          <w:tblGrid>
            <w:gridCol w:w="356.5827486586876"/>
            <w:gridCol w:w="7926.834502682625"/>
            <w:gridCol w:w="356.58274865868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5029200" cy="5829300"/>
                  <wp:effectExtent b="0" l="0" r="0" t="0"/>
                  <wp:docPr descr="OP.CF.L8.003.Spanish" id="1" name="image1.jpg"/>
                  <a:graphic>
                    <a:graphicData uri="http://schemas.openxmlformats.org/drawingml/2006/picture">
                      <pic:pic>
                        <pic:nvPicPr>
                          <pic:cNvPr descr="OP.CF.L8.003.Spanish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82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a2f3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C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8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