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amuog473levc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Tarjetas de datos de la estación 2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6400800" cy="3200400"/>
            <wp:effectExtent b="0" l="0" r="0" t="0"/>
            <wp:docPr descr="OP.CF.L9.010.Spanish" id="1" name="image2.jpg"/>
            <a:graphic>
              <a:graphicData uri="http://schemas.openxmlformats.org/drawingml/2006/picture">
                <pic:pic>
                  <pic:nvPicPr>
                    <pic:cNvPr descr="OP.CF.L9.010.Spanish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Fonts w:ascii="Cabin" w:cs="Cabin" w:eastAsia="Cabin" w:hAnsi="Cabin"/>
          <w:sz w:val="16"/>
          <w:szCs w:val="16"/>
          <w:rtl w:val="0"/>
        </w:rPr>
        <w:t xml:space="preserve">Fuente: Reeve, B. (2020). How much difference does a headwind make when cycling. Obtenido de: https://www.yellowjersey.co.uk/the-draft/how-much-difference-does-a-headwind-make-when-cycling/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Fonts w:ascii="Cabin" w:cs="Cabin" w:eastAsia="Cabin" w:hAnsi="Cabin"/>
          <w:sz w:val="16"/>
          <w:szCs w:val="16"/>
        </w:rPr>
        <w:drawing>
          <wp:inline distB="19050" distT="19050" distL="19050" distR="19050">
            <wp:extent cx="6400800" cy="3441700"/>
            <wp:effectExtent b="0" l="0" r="0" t="0"/>
            <wp:docPr descr="OP.CF.L9.009.Spanish" id="3" name="image1.jpg"/>
            <a:graphic>
              <a:graphicData uri="http://schemas.openxmlformats.org/drawingml/2006/picture">
                <pic:pic>
                  <pic:nvPicPr>
                    <pic:cNvPr descr="OP.CF.L9.009.Spanish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Fonts w:ascii="Cabin" w:cs="Cabin" w:eastAsia="Cabin" w:hAnsi="Cabin"/>
          <w:sz w:val="16"/>
          <w:szCs w:val="16"/>
          <w:rtl w:val="0"/>
        </w:rPr>
        <w:t xml:space="preserve">Data adaptada de: Bialystocki, N., &amp; Konovessis, D. (2016). On the estimation of ship's fuel consumption and speed curve: A statistical approach. Journal of Ocean Engineering and Science, 1(2), pp 157-166.</w:t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Fonts w:ascii="Cabin" w:cs="Cabin" w:eastAsia="Cabin" w:hAnsi="Cabin"/>
          <w:sz w:val="16"/>
          <w:szCs w:val="16"/>
        </w:rPr>
        <w:drawing>
          <wp:inline distB="19050" distT="19050" distL="19050" distR="19050">
            <wp:extent cx="6400800" cy="3695700"/>
            <wp:effectExtent b="0" l="0" r="0" t="0"/>
            <wp:docPr descr="OP.CF.L9.003.Spanish" id="2" name="image3.jpg"/>
            <a:graphic>
              <a:graphicData uri="http://schemas.openxmlformats.org/drawingml/2006/picture">
                <pic:pic>
                  <pic:nvPicPr>
                    <pic:cNvPr descr="OP.CF.L9.003.Spanish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Fonts w:ascii="Cabin" w:cs="Cabin" w:eastAsia="Cabin" w:hAnsi="Cabin"/>
          <w:sz w:val="16"/>
          <w:szCs w:val="16"/>
          <w:rtl w:val="0"/>
        </w:rPr>
        <w:t xml:space="preserve">Data adaptada de: Fuente: Federal Highway Administration. Highway Statistics 2016, Table VM-1; Calculated from statistics found in American Public Transit Association's Public Transportation Fact Book 2017; Gordon, D., Burdelski, J., and Cannon, J. S. Greening Garbage Trucks: New Technologies for Cleaner Air. Inform, Inc. 2003; American School Bus Council. National School Bus Fuel Data.</w:t>
      </w:r>
    </w:p>
    <w:sectPr>
      <w:footerReference r:id="rId9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C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