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C732D" w14:textId="113A5F11" w:rsidR="00D02E1B" w:rsidRPr="00380D41" w:rsidRDefault="00D02E1B" w:rsidP="00D02E1B">
      <w:pPr>
        <w:pBdr>
          <w:top w:val="single" w:sz="4" w:space="1" w:color="auto"/>
          <w:left w:val="single" w:sz="4" w:space="4" w:color="auto"/>
          <w:bottom w:val="single" w:sz="4" w:space="1" w:color="auto"/>
          <w:right w:val="single" w:sz="4" w:space="4" w:color="auto"/>
        </w:pBdr>
        <w:rPr>
          <w:rFonts w:ascii="Aptos" w:hAnsi="Aptos"/>
          <w:sz w:val="20"/>
          <w:szCs w:val="20"/>
        </w:rPr>
      </w:pPr>
      <w:r w:rsidRPr="00380D41">
        <w:rPr>
          <w:rFonts w:ascii="Aptos" w:hAnsi="Aptos"/>
          <w:b/>
          <w:bCs/>
          <w:sz w:val="20"/>
          <w:szCs w:val="20"/>
        </w:rPr>
        <w:t xml:space="preserve">Week of: </w:t>
      </w:r>
      <w:r w:rsidR="00307443">
        <w:rPr>
          <w:rFonts w:ascii="Aptos" w:hAnsi="Aptos"/>
          <w:sz w:val="20"/>
          <w:szCs w:val="20"/>
        </w:rPr>
        <w:t>May 12</w:t>
      </w:r>
      <w:r w:rsidR="00307443" w:rsidRPr="00307443">
        <w:rPr>
          <w:rFonts w:ascii="Aptos" w:hAnsi="Aptos"/>
          <w:sz w:val="20"/>
          <w:szCs w:val="20"/>
          <w:vertAlign w:val="superscript"/>
        </w:rPr>
        <w:t>th</w:t>
      </w:r>
      <w:r w:rsidR="005531F3" w:rsidRPr="005531F3">
        <w:rPr>
          <w:rFonts w:ascii="Aptos" w:hAnsi="Aptos"/>
          <w:sz w:val="20"/>
          <w:szCs w:val="20"/>
        </w:rPr>
        <w:t xml:space="preserve">, </w:t>
      </w:r>
      <w:r w:rsidR="00307443" w:rsidRPr="005531F3">
        <w:rPr>
          <w:rFonts w:ascii="Aptos" w:hAnsi="Aptos"/>
          <w:sz w:val="20"/>
          <w:szCs w:val="20"/>
        </w:rPr>
        <w:t>2025,</w:t>
      </w:r>
      <w:r w:rsidRPr="00380D41">
        <w:rPr>
          <w:rFonts w:ascii="Aptos" w:hAnsi="Aptos"/>
          <w:b/>
          <w:bCs/>
          <w:sz w:val="20"/>
          <w:szCs w:val="20"/>
        </w:rPr>
        <w:tab/>
      </w:r>
      <w:r w:rsidRPr="00380D41">
        <w:rPr>
          <w:rFonts w:ascii="Aptos" w:hAnsi="Aptos"/>
          <w:b/>
          <w:bCs/>
          <w:sz w:val="20"/>
          <w:szCs w:val="20"/>
        </w:rPr>
        <w:tab/>
      </w:r>
      <w:r w:rsidRPr="00380D41">
        <w:rPr>
          <w:rFonts w:ascii="Aptos" w:hAnsi="Aptos"/>
          <w:b/>
          <w:bCs/>
          <w:sz w:val="20"/>
          <w:szCs w:val="20"/>
        </w:rPr>
        <w:tab/>
      </w:r>
      <w:r w:rsidRPr="00380D41">
        <w:rPr>
          <w:rFonts w:ascii="Aptos" w:hAnsi="Aptos"/>
          <w:b/>
          <w:bCs/>
          <w:sz w:val="20"/>
          <w:szCs w:val="20"/>
        </w:rPr>
        <w:tab/>
      </w:r>
      <w:r w:rsidRPr="00380D41">
        <w:rPr>
          <w:rFonts w:ascii="Aptos" w:hAnsi="Aptos"/>
          <w:b/>
          <w:bCs/>
          <w:sz w:val="20"/>
          <w:szCs w:val="20"/>
        </w:rPr>
        <w:tab/>
      </w:r>
      <w:r w:rsidRPr="00380D41">
        <w:rPr>
          <w:rFonts w:ascii="Aptos" w:hAnsi="Aptos"/>
          <w:b/>
          <w:bCs/>
          <w:sz w:val="20"/>
          <w:szCs w:val="20"/>
        </w:rPr>
        <w:tab/>
      </w:r>
      <w:r w:rsidRPr="00380D41">
        <w:rPr>
          <w:rFonts w:ascii="Aptos" w:hAnsi="Aptos"/>
          <w:b/>
          <w:bCs/>
          <w:sz w:val="20"/>
          <w:szCs w:val="20"/>
        </w:rPr>
        <w:tab/>
      </w:r>
      <w:r w:rsidRPr="00380D41">
        <w:rPr>
          <w:rFonts w:ascii="Aptos" w:hAnsi="Aptos"/>
          <w:b/>
          <w:bCs/>
          <w:sz w:val="20"/>
          <w:szCs w:val="20"/>
        </w:rPr>
        <w:tab/>
      </w:r>
      <w:r w:rsidR="005531F3">
        <w:rPr>
          <w:rFonts w:ascii="Aptos" w:hAnsi="Aptos"/>
          <w:b/>
          <w:bCs/>
          <w:sz w:val="20"/>
          <w:szCs w:val="20"/>
        </w:rPr>
        <w:t xml:space="preserve">    </w:t>
      </w:r>
      <w:r w:rsidRPr="00380D41">
        <w:rPr>
          <w:rFonts w:ascii="Aptos" w:hAnsi="Aptos"/>
          <w:b/>
          <w:bCs/>
          <w:sz w:val="20"/>
          <w:szCs w:val="20"/>
        </w:rPr>
        <w:tab/>
      </w:r>
      <w:r w:rsidRPr="00380D41">
        <w:rPr>
          <w:rFonts w:ascii="Aptos" w:hAnsi="Aptos"/>
          <w:b/>
          <w:sz w:val="20"/>
          <w:szCs w:val="20"/>
        </w:rPr>
        <w:tab/>
      </w:r>
      <w:r w:rsidR="00D5266C" w:rsidRPr="00380D41">
        <w:rPr>
          <w:rFonts w:ascii="Aptos" w:hAnsi="Aptos"/>
          <w:b/>
          <w:sz w:val="20"/>
          <w:szCs w:val="20"/>
        </w:rPr>
        <w:t xml:space="preserve">                </w:t>
      </w:r>
      <w:r w:rsidR="00307443">
        <w:rPr>
          <w:rFonts w:ascii="Aptos" w:hAnsi="Aptos"/>
          <w:b/>
          <w:sz w:val="20"/>
          <w:szCs w:val="20"/>
        </w:rPr>
        <w:t xml:space="preserve">                     </w:t>
      </w:r>
      <w:r w:rsidR="005531F3">
        <w:rPr>
          <w:rFonts w:ascii="Aptos" w:hAnsi="Aptos"/>
          <w:b/>
          <w:sz w:val="20"/>
          <w:szCs w:val="20"/>
        </w:rPr>
        <w:t xml:space="preserve"> </w:t>
      </w:r>
      <w:r w:rsidR="00D5266C" w:rsidRPr="00380D41">
        <w:rPr>
          <w:rFonts w:ascii="Aptos" w:hAnsi="Aptos"/>
          <w:b/>
          <w:sz w:val="20"/>
          <w:szCs w:val="20"/>
        </w:rPr>
        <w:t xml:space="preserve">  </w:t>
      </w:r>
      <w:r w:rsidR="005531F3">
        <w:rPr>
          <w:rFonts w:ascii="Aptos" w:hAnsi="Aptos"/>
          <w:b/>
          <w:sz w:val="20"/>
          <w:szCs w:val="20"/>
        </w:rPr>
        <w:t xml:space="preserve">            </w:t>
      </w:r>
      <w:r w:rsidRPr="00380D41">
        <w:rPr>
          <w:rFonts w:ascii="Aptos" w:hAnsi="Aptos"/>
          <w:b/>
          <w:bCs/>
          <w:sz w:val="20"/>
          <w:szCs w:val="20"/>
        </w:rPr>
        <w:t xml:space="preserve">Teacher: </w:t>
      </w:r>
      <w:r w:rsidRPr="00380D41">
        <w:rPr>
          <w:rFonts w:ascii="Aptos" w:hAnsi="Aptos"/>
          <w:sz w:val="20"/>
          <w:szCs w:val="20"/>
        </w:rPr>
        <w:t>Frank Cottone</w:t>
      </w:r>
    </w:p>
    <w:p w14:paraId="481B4A22" w14:textId="11610904" w:rsidR="00D02E1B" w:rsidRPr="00380D41" w:rsidRDefault="00D02E1B" w:rsidP="00D02E1B">
      <w:pPr>
        <w:pBdr>
          <w:top w:val="single" w:sz="4" w:space="1" w:color="auto"/>
          <w:left w:val="single" w:sz="4" w:space="4" w:color="auto"/>
          <w:bottom w:val="single" w:sz="4" w:space="1" w:color="auto"/>
          <w:right w:val="single" w:sz="4" w:space="4" w:color="auto"/>
        </w:pBdr>
        <w:rPr>
          <w:rFonts w:ascii="Aptos" w:hAnsi="Aptos"/>
          <w:b/>
        </w:rPr>
      </w:pPr>
      <w:r w:rsidRPr="00380D41">
        <w:rPr>
          <w:rFonts w:ascii="Aptos" w:hAnsi="Aptos"/>
          <w:b/>
          <w:bCs/>
          <w:sz w:val="20"/>
          <w:szCs w:val="20"/>
        </w:rPr>
        <w:t xml:space="preserve">Module/Unit: </w:t>
      </w:r>
      <w:r w:rsidR="00673ECB" w:rsidRPr="00380D41">
        <w:rPr>
          <w:rFonts w:ascii="Aptos" w:hAnsi="Aptos"/>
          <w:sz w:val="20"/>
          <w:szCs w:val="20"/>
        </w:rPr>
        <w:t xml:space="preserve">Unit </w:t>
      </w:r>
      <w:r w:rsidR="00073030">
        <w:rPr>
          <w:rFonts w:ascii="Aptos" w:hAnsi="Aptos"/>
          <w:sz w:val="20"/>
          <w:szCs w:val="20"/>
        </w:rPr>
        <w:t>1</w:t>
      </w:r>
      <w:r w:rsidR="00673ECB" w:rsidRPr="00380D41">
        <w:rPr>
          <w:rFonts w:ascii="Aptos" w:hAnsi="Aptos"/>
          <w:sz w:val="20"/>
          <w:szCs w:val="20"/>
        </w:rPr>
        <w:t>:</w:t>
      </w:r>
      <w:r w:rsidR="00673ECB" w:rsidRPr="00380D41">
        <w:rPr>
          <w:rFonts w:ascii="Aptos" w:hAnsi="Aptos"/>
          <w:b/>
          <w:bCs/>
          <w:sz w:val="20"/>
          <w:szCs w:val="20"/>
        </w:rPr>
        <w:t xml:space="preserve"> </w:t>
      </w:r>
      <w:r w:rsidR="00946546" w:rsidRPr="003F47A1">
        <w:rPr>
          <w:rFonts w:ascii="Aptos Display" w:hAnsi="Aptos Display"/>
        </w:rPr>
        <w:t>Cells and Organization in Organism</w:t>
      </w:r>
      <w:r w:rsidR="00946546">
        <w:rPr>
          <w:rFonts w:ascii="Aptos Display" w:hAnsi="Aptos Display"/>
        </w:rPr>
        <w:t>s</w:t>
      </w:r>
      <w:r w:rsidR="00EE63FA">
        <w:rPr>
          <w:rFonts w:ascii="Aptos" w:hAnsi="Aptos"/>
          <w:sz w:val="20"/>
          <w:szCs w:val="20"/>
        </w:rPr>
        <w:t xml:space="preserve">    </w:t>
      </w:r>
      <w:r w:rsidR="00787843">
        <w:rPr>
          <w:rFonts w:ascii="Aptos" w:hAnsi="Aptos"/>
          <w:sz w:val="20"/>
          <w:szCs w:val="20"/>
        </w:rPr>
        <w:t xml:space="preserve">             </w:t>
      </w:r>
      <w:r w:rsidR="00EE63FA">
        <w:rPr>
          <w:rFonts w:ascii="Aptos" w:hAnsi="Aptos"/>
          <w:sz w:val="20"/>
          <w:szCs w:val="20"/>
        </w:rPr>
        <w:t xml:space="preserve"> </w:t>
      </w:r>
      <w:r w:rsidRPr="00380D41">
        <w:rPr>
          <w:rFonts w:ascii="Aptos" w:hAnsi="Aptos"/>
          <w:b/>
          <w:bCs/>
          <w:sz w:val="20"/>
          <w:szCs w:val="20"/>
        </w:rPr>
        <w:t xml:space="preserve">Invest/Parts:  </w:t>
      </w:r>
      <w:r w:rsidRPr="00380D41">
        <w:rPr>
          <w:rFonts w:ascii="Aptos" w:hAnsi="Aptos"/>
          <w:sz w:val="20"/>
          <w:szCs w:val="20"/>
        </w:rPr>
        <w:t xml:space="preserve">Lesson </w:t>
      </w:r>
      <w:r w:rsidR="00946546">
        <w:rPr>
          <w:rFonts w:ascii="Aptos" w:hAnsi="Aptos"/>
          <w:sz w:val="20"/>
          <w:szCs w:val="20"/>
        </w:rPr>
        <w:t>2</w:t>
      </w:r>
      <w:r w:rsidR="001D7C26">
        <w:rPr>
          <w:rFonts w:ascii="Aptos" w:hAnsi="Aptos"/>
          <w:sz w:val="20"/>
          <w:szCs w:val="20"/>
        </w:rPr>
        <w:t xml:space="preserve">: </w:t>
      </w:r>
      <w:r w:rsidR="00787843" w:rsidRPr="00787843">
        <w:rPr>
          <w:rFonts w:ascii="Aptos" w:hAnsi="Aptos"/>
          <w:sz w:val="20"/>
          <w:szCs w:val="20"/>
        </w:rPr>
        <w:t>Plant Body Systems</w:t>
      </w:r>
      <w:r w:rsidR="00380D41">
        <w:rPr>
          <w:rFonts w:ascii="Aptos" w:hAnsi="Aptos"/>
          <w:sz w:val="20"/>
          <w:szCs w:val="20"/>
        </w:rPr>
        <w:t xml:space="preserve">      </w:t>
      </w:r>
      <w:r w:rsidR="00D5266C" w:rsidRPr="00380D41">
        <w:rPr>
          <w:rFonts w:ascii="Aptos" w:hAnsi="Aptos"/>
          <w:sz w:val="20"/>
          <w:szCs w:val="20"/>
        </w:rPr>
        <w:t xml:space="preserve"> </w:t>
      </w:r>
      <w:r w:rsidR="00787843">
        <w:rPr>
          <w:rFonts w:ascii="Aptos" w:hAnsi="Aptos"/>
          <w:sz w:val="20"/>
          <w:szCs w:val="20"/>
        </w:rPr>
        <w:t xml:space="preserve">                     </w:t>
      </w:r>
      <w:r w:rsidRPr="00380D41">
        <w:rPr>
          <w:rFonts w:ascii="Aptos" w:hAnsi="Aptos"/>
          <w:b/>
          <w:bCs/>
          <w:sz w:val="20"/>
          <w:szCs w:val="20"/>
        </w:rPr>
        <w:t xml:space="preserve">Grade/Content: </w:t>
      </w:r>
      <w:r w:rsidR="00787843">
        <w:rPr>
          <w:rFonts w:ascii="Aptos" w:hAnsi="Aptos"/>
          <w:sz w:val="20"/>
          <w:szCs w:val="20"/>
        </w:rPr>
        <w:t>6</w:t>
      </w:r>
      <w:r w:rsidRPr="00380D41">
        <w:rPr>
          <w:rFonts w:ascii="Aptos" w:hAnsi="Aptos"/>
          <w:sz w:val="20"/>
          <w:szCs w:val="20"/>
          <w:vertAlign w:val="superscript"/>
        </w:rPr>
        <w:t>th</w:t>
      </w:r>
      <w:r w:rsidRPr="00380D41">
        <w:rPr>
          <w:rFonts w:ascii="Aptos" w:hAnsi="Aptos"/>
          <w:sz w:val="20"/>
          <w:szCs w:val="20"/>
        </w:rPr>
        <w:t xml:space="preserve"> grade S</w:t>
      </w:r>
      <w:r w:rsidR="00946546">
        <w:rPr>
          <w:rFonts w:ascii="Aptos" w:hAnsi="Aptos"/>
          <w:sz w:val="20"/>
          <w:szCs w:val="20"/>
        </w:rPr>
        <w:t>cience</w:t>
      </w:r>
    </w:p>
    <w:p w14:paraId="598D44EE" w14:textId="403AAD5F" w:rsidR="007B33AE" w:rsidRPr="0092662E" w:rsidRDefault="0092662E" w:rsidP="009C7D74">
      <w:pPr>
        <w:pBdr>
          <w:top w:val="single" w:sz="4" w:space="1" w:color="auto"/>
          <w:left w:val="single" w:sz="4" w:space="4" w:color="auto"/>
          <w:bottom w:val="single" w:sz="4" w:space="1" w:color="auto"/>
          <w:right w:val="single" w:sz="4" w:space="4" w:color="auto"/>
        </w:pBdr>
        <w:rPr>
          <w:rFonts w:ascii="Aptos" w:hAnsi="Aptos"/>
          <w:b/>
          <w:color w:val="FF0000"/>
        </w:rPr>
      </w:pPr>
      <w:r>
        <w:rPr>
          <w:rFonts w:ascii="Aptos" w:hAnsi="Aptos"/>
          <w:b/>
          <w:color w:val="FF0000"/>
        </w:rPr>
        <w:t xml:space="preserve">NJSLA </w:t>
      </w:r>
    </w:p>
    <w:tbl>
      <w:tblPr>
        <w:tblStyle w:val="TableGrid"/>
        <w:tblpPr w:leftFromText="180" w:rightFromText="180" w:vertAnchor="page" w:horzAnchor="margin" w:tblpY="2911"/>
        <w:tblW w:w="14590" w:type="dxa"/>
        <w:tblLook w:val="04A0" w:firstRow="1" w:lastRow="0" w:firstColumn="1" w:lastColumn="0" w:noHBand="0" w:noVBand="1"/>
      </w:tblPr>
      <w:tblGrid>
        <w:gridCol w:w="2723"/>
        <w:gridCol w:w="2302"/>
        <w:gridCol w:w="2016"/>
        <w:gridCol w:w="2248"/>
        <w:gridCol w:w="2427"/>
        <w:gridCol w:w="2874"/>
      </w:tblGrid>
      <w:tr w:rsidR="0019273A" w:rsidRPr="00380D41" w14:paraId="70802E9F" w14:textId="77777777" w:rsidTr="00FB70FD">
        <w:trPr>
          <w:trHeight w:val="378"/>
        </w:trPr>
        <w:tc>
          <w:tcPr>
            <w:tcW w:w="2723" w:type="dxa"/>
            <w:shd w:val="clear" w:color="auto" w:fill="D9D9D9" w:themeFill="background1" w:themeFillShade="D9"/>
          </w:tcPr>
          <w:p w14:paraId="1B9A52FA" w14:textId="77777777" w:rsidR="00760AC5" w:rsidRPr="00380D41" w:rsidRDefault="00760AC5" w:rsidP="004644EC">
            <w:pPr>
              <w:jc w:val="center"/>
              <w:rPr>
                <w:rFonts w:ascii="Aptos" w:hAnsi="Aptos"/>
                <w:b/>
                <w:sz w:val="18"/>
                <w:szCs w:val="18"/>
              </w:rPr>
            </w:pPr>
          </w:p>
        </w:tc>
        <w:tc>
          <w:tcPr>
            <w:tcW w:w="2302" w:type="dxa"/>
            <w:tcBorders>
              <w:right w:val="single" w:sz="4" w:space="0" w:color="000000" w:themeColor="text1"/>
            </w:tcBorders>
            <w:shd w:val="clear" w:color="auto" w:fill="FFFFFF" w:themeFill="background1"/>
          </w:tcPr>
          <w:p w14:paraId="0A6E059C" w14:textId="4C9E558C" w:rsidR="00760AC5" w:rsidRPr="00380D41" w:rsidRDefault="613E2E10" w:rsidP="004644EC">
            <w:pPr>
              <w:jc w:val="center"/>
              <w:rPr>
                <w:rFonts w:ascii="Aptos" w:hAnsi="Aptos"/>
                <w:b/>
                <w:sz w:val="18"/>
                <w:szCs w:val="18"/>
              </w:rPr>
            </w:pPr>
            <w:r w:rsidRPr="00380D41">
              <w:rPr>
                <w:rFonts w:ascii="Aptos" w:hAnsi="Aptos"/>
                <w:b/>
                <w:bCs/>
                <w:sz w:val="18"/>
                <w:szCs w:val="18"/>
              </w:rPr>
              <w:t>Session 1</w:t>
            </w:r>
          </w:p>
        </w:tc>
        <w:tc>
          <w:tcPr>
            <w:tcW w:w="2016" w:type="dxa"/>
            <w:tcBorders>
              <w:left w:val="single" w:sz="4" w:space="0" w:color="000000" w:themeColor="text1"/>
              <w:right w:val="single" w:sz="4" w:space="0" w:color="000000" w:themeColor="text1"/>
            </w:tcBorders>
            <w:shd w:val="clear" w:color="auto" w:fill="FFFFFF" w:themeFill="background1"/>
          </w:tcPr>
          <w:p w14:paraId="39D9DB68" w14:textId="521ADA8F" w:rsidR="00760AC5" w:rsidRPr="00380D41" w:rsidRDefault="613E2E10" w:rsidP="004644EC">
            <w:pPr>
              <w:jc w:val="center"/>
              <w:rPr>
                <w:rFonts w:ascii="Aptos" w:hAnsi="Aptos"/>
                <w:b/>
                <w:sz w:val="18"/>
                <w:szCs w:val="18"/>
              </w:rPr>
            </w:pPr>
            <w:r w:rsidRPr="00380D41">
              <w:rPr>
                <w:rFonts w:ascii="Aptos" w:hAnsi="Aptos"/>
                <w:b/>
                <w:bCs/>
                <w:sz w:val="18"/>
                <w:szCs w:val="18"/>
              </w:rPr>
              <w:t>Session 2</w:t>
            </w:r>
          </w:p>
        </w:tc>
        <w:tc>
          <w:tcPr>
            <w:tcW w:w="2248" w:type="dxa"/>
            <w:tcBorders>
              <w:left w:val="single" w:sz="4" w:space="0" w:color="000000" w:themeColor="text1"/>
            </w:tcBorders>
            <w:shd w:val="clear" w:color="auto" w:fill="FFFFFF" w:themeFill="background1"/>
          </w:tcPr>
          <w:p w14:paraId="75C30549" w14:textId="2A3652B1" w:rsidR="00760AC5" w:rsidRPr="00380D41" w:rsidRDefault="613E2E10" w:rsidP="004644EC">
            <w:pPr>
              <w:jc w:val="center"/>
              <w:rPr>
                <w:rFonts w:ascii="Aptos" w:hAnsi="Aptos"/>
                <w:b/>
                <w:sz w:val="18"/>
                <w:szCs w:val="18"/>
              </w:rPr>
            </w:pPr>
            <w:r w:rsidRPr="00380D41">
              <w:rPr>
                <w:rFonts w:ascii="Aptos" w:hAnsi="Aptos"/>
                <w:b/>
                <w:bCs/>
                <w:sz w:val="18"/>
                <w:szCs w:val="18"/>
              </w:rPr>
              <w:t>Session 3</w:t>
            </w:r>
          </w:p>
        </w:tc>
        <w:tc>
          <w:tcPr>
            <w:tcW w:w="2427" w:type="dxa"/>
            <w:tcBorders>
              <w:right w:val="single" w:sz="4" w:space="0" w:color="000000" w:themeColor="text1"/>
            </w:tcBorders>
            <w:shd w:val="clear" w:color="auto" w:fill="FFFFFF" w:themeFill="background1"/>
          </w:tcPr>
          <w:p w14:paraId="55AEBFEC" w14:textId="26443056" w:rsidR="00760AC5" w:rsidRPr="00380D41" w:rsidRDefault="613E2E10" w:rsidP="004644EC">
            <w:pPr>
              <w:jc w:val="center"/>
              <w:rPr>
                <w:rFonts w:ascii="Aptos" w:hAnsi="Aptos"/>
                <w:b/>
                <w:sz w:val="18"/>
                <w:szCs w:val="18"/>
              </w:rPr>
            </w:pPr>
            <w:r w:rsidRPr="00380D41">
              <w:rPr>
                <w:rFonts w:ascii="Aptos" w:hAnsi="Aptos"/>
                <w:b/>
                <w:bCs/>
                <w:sz w:val="18"/>
                <w:szCs w:val="18"/>
              </w:rPr>
              <w:t>Session 4</w:t>
            </w:r>
          </w:p>
        </w:tc>
        <w:tc>
          <w:tcPr>
            <w:tcW w:w="2874" w:type="dxa"/>
            <w:tcBorders>
              <w:left w:val="single" w:sz="4" w:space="0" w:color="000000" w:themeColor="text1"/>
            </w:tcBorders>
            <w:shd w:val="clear" w:color="auto" w:fill="FFFFFF" w:themeFill="background1"/>
          </w:tcPr>
          <w:p w14:paraId="2C05AB0F" w14:textId="5D62D0AC" w:rsidR="00760AC5" w:rsidRPr="00380D41" w:rsidRDefault="613E2E10" w:rsidP="004644EC">
            <w:pPr>
              <w:jc w:val="center"/>
              <w:rPr>
                <w:rFonts w:ascii="Aptos" w:hAnsi="Aptos"/>
                <w:b/>
                <w:sz w:val="18"/>
                <w:szCs w:val="18"/>
              </w:rPr>
            </w:pPr>
            <w:r w:rsidRPr="00380D41">
              <w:rPr>
                <w:rFonts w:ascii="Aptos" w:hAnsi="Aptos"/>
                <w:b/>
                <w:bCs/>
                <w:sz w:val="18"/>
                <w:szCs w:val="18"/>
              </w:rPr>
              <w:t>Session 5</w:t>
            </w:r>
          </w:p>
        </w:tc>
      </w:tr>
      <w:tr w:rsidR="006E4085" w:rsidRPr="00380D41" w14:paraId="027E7DB2" w14:textId="77777777" w:rsidTr="00FB70FD">
        <w:trPr>
          <w:trHeight w:val="378"/>
        </w:trPr>
        <w:tc>
          <w:tcPr>
            <w:tcW w:w="2723" w:type="dxa"/>
            <w:shd w:val="clear" w:color="auto" w:fill="D9D9D9" w:themeFill="background1" w:themeFillShade="D9"/>
          </w:tcPr>
          <w:p w14:paraId="0089713E" w14:textId="77777777" w:rsidR="006E4085" w:rsidRPr="00380D41" w:rsidRDefault="006E4085" w:rsidP="004644EC">
            <w:pPr>
              <w:jc w:val="center"/>
              <w:rPr>
                <w:rFonts w:ascii="Aptos" w:hAnsi="Aptos"/>
                <w:b/>
                <w:sz w:val="18"/>
                <w:szCs w:val="18"/>
              </w:rPr>
            </w:pPr>
            <w:r w:rsidRPr="00380D41">
              <w:rPr>
                <w:rFonts w:ascii="Aptos" w:hAnsi="Aptos"/>
                <w:b/>
                <w:bCs/>
                <w:sz w:val="18"/>
                <w:szCs w:val="18"/>
              </w:rPr>
              <w:t>New Jersey Student Learning Standards – ELA &amp; MATH</w:t>
            </w:r>
          </w:p>
          <w:p w14:paraId="33CA0528" w14:textId="77777777" w:rsidR="006E4085" w:rsidRPr="00380D41" w:rsidRDefault="006E4085" w:rsidP="004644EC">
            <w:pPr>
              <w:rPr>
                <w:rFonts w:ascii="Aptos" w:hAnsi="Aptos"/>
                <w:b/>
                <w:sz w:val="18"/>
                <w:szCs w:val="18"/>
              </w:rPr>
            </w:pPr>
          </w:p>
        </w:tc>
        <w:tc>
          <w:tcPr>
            <w:tcW w:w="11867" w:type="dxa"/>
            <w:gridSpan w:val="5"/>
            <w:shd w:val="clear" w:color="auto" w:fill="FFFFFF" w:themeFill="background1"/>
          </w:tcPr>
          <w:p w14:paraId="1E5DCE49" w14:textId="77777777" w:rsidR="00A86C33" w:rsidRPr="00380D41" w:rsidRDefault="00A86C33" w:rsidP="00A86C33">
            <w:pPr>
              <w:rPr>
                <w:rFonts w:ascii="Aptos" w:hAnsi="Aptos"/>
                <w:b/>
                <w:sz w:val="20"/>
                <w:szCs w:val="20"/>
              </w:rPr>
            </w:pPr>
            <w:r>
              <w:rPr>
                <w:b/>
              </w:rPr>
              <w:t>ELA Standards</w:t>
            </w:r>
          </w:p>
          <w:p w14:paraId="74B98025" w14:textId="77777777" w:rsidR="0077305D" w:rsidRDefault="00787843">
            <w:r>
              <w:rPr>
                <w:b/>
              </w:rPr>
              <w:t>WHST.6-8.8</w:t>
            </w:r>
            <w:r>
              <w:t>: Gather relevant information from multiple print and digital sources, using search terms effectively; assess the credibility and accuracy of each source; and quote or paraphrase the data and conclusions of others while avoiding plagiarism.</w:t>
            </w:r>
          </w:p>
          <w:p w14:paraId="0B76140A" w14:textId="77777777" w:rsidR="0077305D" w:rsidRDefault="0077305D"/>
          <w:p w14:paraId="4BEB87BE" w14:textId="77777777" w:rsidR="0077305D" w:rsidRDefault="00787843">
            <w:r>
              <w:rPr>
                <w:b/>
              </w:rPr>
              <w:t>Math Standards</w:t>
            </w:r>
          </w:p>
          <w:p w14:paraId="25C36223" w14:textId="77777777" w:rsidR="0077305D" w:rsidRDefault="00787843">
            <w:r>
              <w:rPr>
                <w:b/>
              </w:rPr>
              <w:t>6.EE.C.9</w:t>
            </w:r>
            <w:r>
              <w:t>: Model two changing quantities in a real-world problem with an equation and analyze the relationship.</w:t>
            </w:r>
          </w:p>
        </w:tc>
      </w:tr>
      <w:tr w:rsidR="006E4085" w:rsidRPr="00380D41" w14:paraId="54830774" w14:textId="77777777" w:rsidTr="00FB70FD">
        <w:trPr>
          <w:trHeight w:val="640"/>
        </w:trPr>
        <w:tc>
          <w:tcPr>
            <w:tcW w:w="2723" w:type="dxa"/>
            <w:tcBorders>
              <w:bottom w:val="single" w:sz="4" w:space="0" w:color="000000" w:themeColor="text1"/>
            </w:tcBorders>
            <w:shd w:val="clear" w:color="auto" w:fill="D9D9D9" w:themeFill="background1" w:themeFillShade="D9"/>
          </w:tcPr>
          <w:p w14:paraId="49A8C83E" w14:textId="77777777" w:rsidR="006E4085" w:rsidRPr="00380D41" w:rsidRDefault="006E4085" w:rsidP="004644EC">
            <w:pPr>
              <w:jc w:val="center"/>
              <w:rPr>
                <w:rFonts w:ascii="Aptos" w:hAnsi="Aptos"/>
                <w:b/>
                <w:sz w:val="18"/>
                <w:szCs w:val="18"/>
              </w:rPr>
            </w:pPr>
            <w:r w:rsidRPr="00380D41">
              <w:rPr>
                <w:rFonts w:ascii="Aptos" w:hAnsi="Aptos"/>
                <w:b/>
                <w:bCs/>
                <w:sz w:val="18"/>
                <w:szCs w:val="18"/>
              </w:rPr>
              <w:t xml:space="preserve">New Jersey Student Learning Standards- Science </w:t>
            </w:r>
          </w:p>
          <w:p w14:paraId="6B16BD4D" w14:textId="77777777" w:rsidR="006E4085" w:rsidRPr="00380D41" w:rsidRDefault="006E4085" w:rsidP="004644EC">
            <w:pPr>
              <w:jc w:val="center"/>
              <w:rPr>
                <w:rFonts w:ascii="Aptos" w:hAnsi="Aptos"/>
                <w:b/>
                <w:sz w:val="18"/>
                <w:szCs w:val="18"/>
              </w:rPr>
            </w:pPr>
            <w:r w:rsidRPr="00380D41">
              <w:rPr>
                <w:rFonts w:ascii="Aptos" w:hAnsi="Aptos"/>
                <w:b/>
                <w:bCs/>
                <w:sz w:val="18"/>
                <w:szCs w:val="18"/>
              </w:rPr>
              <w:t>(Performance Expectations)</w:t>
            </w:r>
          </w:p>
          <w:p w14:paraId="03FD9D2B" w14:textId="21EFA266" w:rsidR="006E4085" w:rsidRPr="00380D41" w:rsidRDefault="006E4085" w:rsidP="004644EC">
            <w:pPr>
              <w:jc w:val="center"/>
              <w:rPr>
                <w:rFonts w:ascii="Aptos" w:hAnsi="Aptos"/>
              </w:rPr>
            </w:pPr>
            <w:r w:rsidRPr="00380D41">
              <w:rPr>
                <w:rFonts w:ascii="Aptos" w:hAnsi="Aptos"/>
                <w:b/>
                <w:bCs/>
                <w:color w:val="3333FF"/>
                <w:sz w:val="18"/>
                <w:szCs w:val="18"/>
              </w:rPr>
              <w:t>NJ SLS-S (PEs)</w:t>
            </w:r>
          </w:p>
          <w:p w14:paraId="62692E74" w14:textId="50ACB3CF" w:rsidR="006E4085" w:rsidRPr="00380D41" w:rsidRDefault="006E4085" w:rsidP="613E2E10">
            <w:pPr>
              <w:jc w:val="center"/>
              <w:rPr>
                <w:rFonts w:ascii="Aptos" w:hAnsi="Aptos"/>
                <w:b/>
                <w:color w:val="3333FF"/>
                <w:sz w:val="18"/>
                <w:szCs w:val="18"/>
              </w:rPr>
            </w:pPr>
            <w:r w:rsidRPr="00380D41">
              <w:rPr>
                <w:rFonts w:ascii="Aptos" w:hAnsi="Aptos"/>
                <w:b/>
                <w:bCs/>
                <w:color w:val="3333FF"/>
                <w:sz w:val="18"/>
                <w:szCs w:val="18"/>
              </w:rPr>
              <w:t>NGSS</w:t>
            </w:r>
          </w:p>
        </w:tc>
        <w:tc>
          <w:tcPr>
            <w:tcW w:w="11867" w:type="dxa"/>
            <w:gridSpan w:val="5"/>
            <w:tcBorders>
              <w:bottom w:val="single" w:sz="4" w:space="0" w:color="000000" w:themeColor="text1"/>
            </w:tcBorders>
            <w:shd w:val="clear" w:color="auto" w:fill="FFFFFF" w:themeFill="background1"/>
          </w:tcPr>
          <w:p w14:paraId="0AFAF5B0" w14:textId="00B863A1" w:rsidR="003E3CDB" w:rsidRPr="00380D41" w:rsidRDefault="003E3CDB" w:rsidP="0098014D">
            <w:pPr>
              <w:tabs>
                <w:tab w:val="center" w:pos="1851"/>
              </w:tabs>
              <w:rPr>
                <w:rFonts w:ascii="Aptos" w:hAnsi="Aptos"/>
                <w:b/>
                <w:bCs/>
                <w:sz w:val="20"/>
                <w:szCs w:val="20"/>
              </w:rPr>
            </w:pPr>
            <w:r>
              <w:rPr>
                <w:b/>
              </w:rPr>
              <w:t>MS-LS1-8</w:t>
            </w:r>
            <w:r>
              <w:t>: Gather and synthesize information that sensory receptors respond to stimuli by sending messages to the brain for immediate behavior or storage as memories.</w:t>
            </w:r>
          </w:p>
          <w:p w14:paraId="53989196" w14:textId="77777777" w:rsidR="0077305D" w:rsidRDefault="00787843">
            <w:r>
              <w:rPr>
                <w:b/>
              </w:rPr>
              <w:t>MS-LS1-3</w:t>
            </w:r>
            <w:r>
              <w:t>: Use argument supported by evidence for how the body is a system of interacting subsystems composed of groups of cells.</w:t>
            </w:r>
          </w:p>
        </w:tc>
      </w:tr>
      <w:tr w:rsidR="006E4085" w:rsidRPr="00380D41" w14:paraId="5A40EB64" w14:textId="77777777" w:rsidTr="00FB70FD">
        <w:trPr>
          <w:trHeight w:val="123"/>
        </w:trPr>
        <w:tc>
          <w:tcPr>
            <w:tcW w:w="2723" w:type="dxa"/>
            <w:tcBorders>
              <w:top w:val="single" w:sz="4" w:space="0" w:color="000000" w:themeColor="text1"/>
              <w:bottom w:val="single" w:sz="4" w:space="0" w:color="000000" w:themeColor="text1"/>
            </w:tcBorders>
            <w:shd w:val="clear" w:color="auto" w:fill="D9D9D9" w:themeFill="background1" w:themeFillShade="D9"/>
          </w:tcPr>
          <w:p w14:paraId="41C1C93A" w14:textId="77777777" w:rsidR="006E4085" w:rsidRPr="00380D41" w:rsidRDefault="006E4085" w:rsidP="004644EC">
            <w:pPr>
              <w:spacing w:before="120" w:after="120"/>
              <w:rPr>
                <w:rFonts w:ascii="Aptos" w:hAnsi="Aptos" w:cs="Times New Roman"/>
                <w:b/>
                <w:sz w:val="16"/>
                <w:szCs w:val="18"/>
              </w:rPr>
            </w:pPr>
            <w:r w:rsidRPr="00380D41">
              <w:rPr>
                <w:rFonts w:ascii="Aptos" w:eastAsia="Times New Roman" w:hAnsi="Aptos" w:cs="Times New Roman"/>
                <w:b/>
                <w:bCs/>
                <w:sz w:val="16"/>
                <w:szCs w:val="16"/>
              </w:rPr>
              <w:t>Science &amp; Engineering Practices</w:t>
            </w:r>
          </w:p>
        </w:tc>
        <w:tc>
          <w:tcPr>
            <w:tcW w:w="11867" w:type="dxa"/>
            <w:gridSpan w:val="5"/>
            <w:tcBorders>
              <w:top w:val="single" w:sz="4" w:space="0" w:color="000000" w:themeColor="text1"/>
              <w:bottom w:val="single" w:sz="4" w:space="0" w:color="000000" w:themeColor="text1"/>
            </w:tcBorders>
            <w:shd w:val="clear" w:color="auto" w:fill="FFFFFF" w:themeFill="background1"/>
          </w:tcPr>
          <w:p w14:paraId="01775693" w14:textId="0D41F735" w:rsidR="006E4085" w:rsidRPr="00380D41" w:rsidRDefault="00CE3651" w:rsidP="0098014D">
            <w:pPr>
              <w:jc w:val="both"/>
              <w:rPr>
                <w:rFonts w:ascii="Aptos" w:hAnsi="Aptos"/>
                <w:sz w:val="20"/>
                <w:szCs w:val="20"/>
              </w:rPr>
            </w:pPr>
            <w:r>
              <w:rPr>
                <w:b/>
              </w:rPr>
              <w:t>Obtaining, Evaluating, and Communicating Information</w:t>
            </w:r>
          </w:p>
          <w:p w14:paraId="1F15FC2A" w14:textId="77777777" w:rsidR="0077305D" w:rsidRDefault="00787843">
            <w:r>
              <w:rPr>
                <w:b/>
              </w:rPr>
              <w:t>Engaging in Argument from Evidence</w:t>
            </w:r>
          </w:p>
        </w:tc>
      </w:tr>
      <w:tr w:rsidR="006E4085" w:rsidRPr="00380D41" w14:paraId="45AA6D8A" w14:textId="77777777" w:rsidTr="00FB70FD">
        <w:trPr>
          <w:trHeight w:val="160"/>
        </w:trPr>
        <w:tc>
          <w:tcPr>
            <w:tcW w:w="2723" w:type="dxa"/>
            <w:tcBorders>
              <w:top w:val="single" w:sz="4" w:space="0" w:color="000000" w:themeColor="text1"/>
              <w:bottom w:val="single" w:sz="4" w:space="0" w:color="000000" w:themeColor="text1"/>
            </w:tcBorders>
            <w:shd w:val="clear" w:color="auto" w:fill="D9D9D9" w:themeFill="background1" w:themeFillShade="D9"/>
          </w:tcPr>
          <w:p w14:paraId="079338B2" w14:textId="77777777" w:rsidR="006E4085" w:rsidRPr="00380D41" w:rsidRDefault="006E4085" w:rsidP="004644EC">
            <w:pPr>
              <w:spacing w:before="120" w:after="120"/>
              <w:rPr>
                <w:rFonts w:ascii="Aptos" w:hAnsi="Aptos" w:cs="Times New Roman"/>
                <w:b/>
                <w:sz w:val="16"/>
                <w:szCs w:val="18"/>
              </w:rPr>
            </w:pPr>
            <w:r w:rsidRPr="00380D41">
              <w:rPr>
                <w:rFonts w:ascii="Aptos" w:eastAsia="Times New Roman" w:hAnsi="Aptos" w:cs="Times New Roman"/>
                <w:b/>
                <w:bCs/>
                <w:sz w:val="16"/>
                <w:szCs w:val="16"/>
              </w:rPr>
              <w:t>Disciplinary Core Ideas</w:t>
            </w:r>
          </w:p>
        </w:tc>
        <w:tc>
          <w:tcPr>
            <w:tcW w:w="11867" w:type="dxa"/>
            <w:gridSpan w:val="5"/>
            <w:tcBorders>
              <w:top w:val="single" w:sz="4" w:space="0" w:color="000000" w:themeColor="text1"/>
              <w:bottom w:val="single" w:sz="4" w:space="0" w:color="000000" w:themeColor="text1"/>
            </w:tcBorders>
            <w:shd w:val="clear" w:color="auto" w:fill="FFFFFF" w:themeFill="background1"/>
          </w:tcPr>
          <w:p w14:paraId="4AD0C1DF" w14:textId="15C1D489" w:rsidR="00EC142F" w:rsidRPr="00380D41" w:rsidRDefault="00B81A67" w:rsidP="0098014D">
            <w:pPr>
              <w:rPr>
                <w:rFonts w:ascii="Aptos" w:hAnsi="Aptos"/>
                <w:sz w:val="20"/>
                <w:szCs w:val="20"/>
              </w:rPr>
            </w:pPr>
            <w:r>
              <w:rPr>
                <w:b/>
              </w:rPr>
              <w:t>LS1.A Structure and Function</w:t>
            </w:r>
          </w:p>
          <w:p w14:paraId="2977947A" w14:textId="77777777" w:rsidR="0077305D" w:rsidRDefault="00787843">
            <w:r>
              <w:rPr>
                <w:b/>
              </w:rPr>
              <w:t>LS1.D Information Processing</w:t>
            </w:r>
          </w:p>
        </w:tc>
      </w:tr>
      <w:tr w:rsidR="006E4085" w:rsidRPr="00380D41" w14:paraId="39A9DA5E" w14:textId="77777777" w:rsidTr="00FB70FD">
        <w:trPr>
          <w:trHeight w:val="128"/>
        </w:trPr>
        <w:tc>
          <w:tcPr>
            <w:tcW w:w="2723" w:type="dxa"/>
            <w:tcBorders>
              <w:top w:val="single" w:sz="4" w:space="0" w:color="000000" w:themeColor="text1"/>
            </w:tcBorders>
            <w:shd w:val="clear" w:color="auto" w:fill="D9D9D9" w:themeFill="background1" w:themeFillShade="D9"/>
          </w:tcPr>
          <w:p w14:paraId="363925B1" w14:textId="1B8B9AC4" w:rsidR="006E4085" w:rsidRPr="00380D41" w:rsidRDefault="006E4085" w:rsidP="004644EC">
            <w:pPr>
              <w:spacing w:before="120" w:after="120"/>
              <w:rPr>
                <w:rFonts w:ascii="Aptos" w:hAnsi="Aptos" w:cs="Times New Roman"/>
                <w:b/>
                <w:sz w:val="16"/>
                <w:szCs w:val="18"/>
              </w:rPr>
            </w:pPr>
            <w:r w:rsidRPr="00380D41">
              <w:rPr>
                <w:rFonts w:ascii="Aptos" w:eastAsia="Times New Roman" w:hAnsi="Aptos" w:cs="Times New Roman"/>
                <w:b/>
                <w:bCs/>
                <w:sz w:val="16"/>
                <w:szCs w:val="16"/>
              </w:rPr>
              <w:t>Crosscutting Concepts</w:t>
            </w:r>
          </w:p>
        </w:tc>
        <w:tc>
          <w:tcPr>
            <w:tcW w:w="11867" w:type="dxa"/>
            <w:gridSpan w:val="5"/>
            <w:tcBorders>
              <w:top w:val="single" w:sz="4" w:space="0" w:color="000000" w:themeColor="text1"/>
            </w:tcBorders>
            <w:shd w:val="clear" w:color="auto" w:fill="FFFFFF" w:themeFill="background1"/>
          </w:tcPr>
          <w:p w14:paraId="77DECEA0" w14:textId="15CB8D4A" w:rsidR="00EC142F" w:rsidRPr="00F22C63" w:rsidRDefault="00B81A67" w:rsidP="0098014D">
            <w:pPr>
              <w:rPr>
                <w:rFonts w:ascii="Aptos" w:hAnsi="Aptos"/>
                <w:b/>
                <w:bCs/>
                <w:sz w:val="20"/>
                <w:szCs w:val="20"/>
              </w:rPr>
            </w:pPr>
            <w:r>
              <w:rPr>
                <w:b/>
              </w:rPr>
              <w:t>Cause and Effect</w:t>
            </w:r>
          </w:p>
          <w:p w14:paraId="6B87CF27" w14:textId="77777777" w:rsidR="0077305D" w:rsidRDefault="00787843">
            <w:r>
              <w:rPr>
                <w:b/>
              </w:rPr>
              <w:t>Systems and System Models</w:t>
            </w:r>
          </w:p>
          <w:p w14:paraId="54230C45" w14:textId="77777777" w:rsidR="0077305D" w:rsidRDefault="00787843">
            <w:r>
              <w:rPr>
                <w:b/>
              </w:rPr>
              <w:t>Science is a Human Endeavor</w:t>
            </w:r>
          </w:p>
        </w:tc>
      </w:tr>
      <w:tr w:rsidR="00897CD9" w:rsidRPr="00380D41" w14:paraId="3BFE47EE" w14:textId="77777777" w:rsidTr="00F81440">
        <w:trPr>
          <w:trHeight w:val="378"/>
        </w:trPr>
        <w:tc>
          <w:tcPr>
            <w:tcW w:w="2723" w:type="dxa"/>
            <w:shd w:val="clear" w:color="auto" w:fill="D9D9D9" w:themeFill="background1" w:themeFillShade="D9"/>
          </w:tcPr>
          <w:p w14:paraId="442B26EF" w14:textId="692E6360" w:rsidR="00897CD9" w:rsidRPr="00380D41" w:rsidRDefault="00897CD9" w:rsidP="00897CD9">
            <w:pPr>
              <w:jc w:val="center"/>
              <w:rPr>
                <w:rFonts w:ascii="Aptos" w:hAnsi="Aptos"/>
                <w:sz w:val="18"/>
                <w:szCs w:val="18"/>
              </w:rPr>
            </w:pPr>
            <w:r w:rsidRPr="00380D41">
              <w:rPr>
                <w:rFonts w:ascii="Aptos" w:hAnsi="Aptos"/>
                <w:b/>
                <w:bCs/>
                <w:sz w:val="18"/>
                <w:szCs w:val="18"/>
              </w:rPr>
              <w:t>Components of the Lesson</w:t>
            </w:r>
          </w:p>
        </w:tc>
        <w:tc>
          <w:tcPr>
            <w:tcW w:w="2302" w:type="dxa"/>
            <w:tcBorders>
              <w:right w:val="single" w:sz="4" w:space="0" w:color="000000" w:themeColor="text1"/>
            </w:tcBorders>
            <w:shd w:val="clear" w:color="auto" w:fill="D9D9D9" w:themeFill="background1" w:themeFillShade="D9"/>
            <w:vAlign w:val="center"/>
          </w:tcPr>
          <w:p w14:paraId="4681700C" w14:textId="43A1BFE6" w:rsidR="00897CD9" w:rsidRPr="00380D41" w:rsidRDefault="00897CD9" w:rsidP="00897CD9">
            <w:pPr>
              <w:jc w:val="center"/>
              <w:rPr>
                <w:rFonts w:ascii="Aptos" w:hAnsi="Aptos"/>
                <w:b/>
                <w:bCs/>
                <w:sz w:val="18"/>
                <w:szCs w:val="18"/>
              </w:rPr>
            </w:pPr>
            <w:r>
              <w:rPr>
                <w:rStyle w:val="Strong"/>
              </w:rPr>
              <w:t xml:space="preserve">Can You </w:t>
            </w:r>
            <w:r w:rsidR="00073030">
              <w:rPr>
                <w:rStyle w:val="Strong"/>
              </w:rPr>
              <w:t>Explain the Phenomenon?</w:t>
            </w:r>
          </w:p>
        </w:tc>
        <w:tc>
          <w:tcPr>
            <w:tcW w:w="2016" w:type="dxa"/>
            <w:tcBorders>
              <w:left w:val="single" w:sz="4" w:space="0" w:color="000000" w:themeColor="text1"/>
            </w:tcBorders>
            <w:shd w:val="clear" w:color="auto" w:fill="D9D9D9" w:themeFill="background1" w:themeFillShade="D9"/>
            <w:vAlign w:val="center"/>
          </w:tcPr>
          <w:p w14:paraId="6EB4524D" w14:textId="698DC935" w:rsidR="00897CD9" w:rsidRPr="00380D41" w:rsidRDefault="00897CD9" w:rsidP="00897CD9">
            <w:pPr>
              <w:jc w:val="center"/>
              <w:rPr>
                <w:rFonts w:ascii="Aptos" w:hAnsi="Aptos"/>
                <w:b/>
                <w:bCs/>
                <w:sz w:val="18"/>
                <w:szCs w:val="18"/>
              </w:rPr>
            </w:pPr>
            <w:r>
              <w:rPr>
                <w:rStyle w:val="Strong"/>
              </w:rPr>
              <w:t>Exploration 2</w:t>
            </w:r>
          </w:p>
        </w:tc>
        <w:tc>
          <w:tcPr>
            <w:tcW w:w="2248" w:type="dxa"/>
            <w:tcBorders>
              <w:right w:val="single" w:sz="4" w:space="0" w:color="000000" w:themeColor="text1"/>
            </w:tcBorders>
            <w:shd w:val="clear" w:color="auto" w:fill="D9D9D9" w:themeFill="background1" w:themeFillShade="D9"/>
            <w:vAlign w:val="center"/>
          </w:tcPr>
          <w:p w14:paraId="16C63AED" w14:textId="6CEB1689" w:rsidR="00897CD9" w:rsidRPr="00380D41" w:rsidRDefault="00897CD9" w:rsidP="00897CD9">
            <w:pPr>
              <w:jc w:val="center"/>
              <w:rPr>
                <w:rFonts w:ascii="Aptos" w:hAnsi="Aptos"/>
                <w:b/>
                <w:bCs/>
                <w:sz w:val="18"/>
                <w:szCs w:val="18"/>
              </w:rPr>
            </w:pPr>
            <w:r>
              <w:rPr>
                <w:rStyle w:val="Strong"/>
              </w:rPr>
              <w:t>Exploration 3</w:t>
            </w:r>
          </w:p>
        </w:tc>
        <w:tc>
          <w:tcPr>
            <w:tcW w:w="2427" w:type="dxa"/>
            <w:tcBorders>
              <w:left w:val="single" w:sz="4" w:space="0" w:color="000000" w:themeColor="text1"/>
              <w:right w:val="single" w:sz="4" w:space="0" w:color="000000" w:themeColor="text1"/>
            </w:tcBorders>
            <w:shd w:val="clear" w:color="auto" w:fill="D9D9D9" w:themeFill="background1" w:themeFillShade="D9"/>
            <w:vAlign w:val="center"/>
          </w:tcPr>
          <w:p w14:paraId="4DCF5FC0" w14:textId="7F6CD5B6" w:rsidR="00897CD9" w:rsidRPr="00380D41" w:rsidRDefault="00897CD9" w:rsidP="00897CD9">
            <w:pPr>
              <w:jc w:val="center"/>
              <w:rPr>
                <w:rFonts w:ascii="Aptos" w:hAnsi="Aptos"/>
                <w:b/>
                <w:bCs/>
                <w:sz w:val="18"/>
                <w:szCs w:val="18"/>
              </w:rPr>
            </w:pPr>
            <w:r>
              <w:rPr>
                <w:rStyle w:val="Strong"/>
              </w:rPr>
              <w:t>Exploration 4</w:t>
            </w:r>
          </w:p>
        </w:tc>
        <w:tc>
          <w:tcPr>
            <w:tcW w:w="2874" w:type="dxa"/>
            <w:tcBorders>
              <w:left w:val="single" w:sz="4" w:space="0" w:color="000000" w:themeColor="text1"/>
            </w:tcBorders>
            <w:shd w:val="clear" w:color="auto" w:fill="D9D9D9" w:themeFill="background1" w:themeFillShade="D9"/>
            <w:vAlign w:val="center"/>
          </w:tcPr>
          <w:p w14:paraId="279937CC" w14:textId="45BB2928" w:rsidR="00897CD9" w:rsidRPr="00380D41" w:rsidRDefault="00897CD9" w:rsidP="00897CD9">
            <w:pPr>
              <w:jc w:val="center"/>
              <w:rPr>
                <w:rFonts w:ascii="Aptos" w:hAnsi="Aptos"/>
                <w:b/>
                <w:bCs/>
                <w:sz w:val="18"/>
                <w:szCs w:val="18"/>
              </w:rPr>
            </w:pPr>
            <w:r>
              <w:rPr>
                <w:rStyle w:val="Strong"/>
              </w:rPr>
              <w:t>Lesson Self-Check</w:t>
            </w:r>
          </w:p>
        </w:tc>
      </w:tr>
      <w:tr w:rsidR="00073030" w:rsidRPr="00380D41" w14:paraId="3DD86967" w14:textId="77777777" w:rsidTr="00340661">
        <w:trPr>
          <w:trHeight w:val="80"/>
        </w:trPr>
        <w:tc>
          <w:tcPr>
            <w:tcW w:w="2723" w:type="dxa"/>
          </w:tcPr>
          <w:p w14:paraId="358B0AB3" w14:textId="77777777" w:rsidR="00073030" w:rsidRPr="00380D41" w:rsidRDefault="00073030" w:rsidP="00073030">
            <w:pPr>
              <w:jc w:val="center"/>
              <w:rPr>
                <w:rFonts w:ascii="Aptos" w:hAnsi="Aptos"/>
                <w:b/>
                <w:sz w:val="18"/>
                <w:szCs w:val="18"/>
              </w:rPr>
            </w:pPr>
            <w:r w:rsidRPr="00380D41">
              <w:rPr>
                <w:rFonts w:ascii="Aptos" w:hAnsi="Aptos"/>
                <w:b/>
                <w:bCs/>
                <w:sz w:val="18"/>
                <w:szCs w:val="18"/>
              </w:rPr>
              <w:t>Anticipatory Set</w:t>
            </w:r>
          </w:p>
          <w:p w14:paraId="32263923" w14:textId="77777777" w:rsidR="00073030" w:rsidRPr="00380D41" w:rsidRDefault="00073030" w:rsidP="00073030">
            <w:pPr>
              <w:jc w:val="center"/>
              <w:rPr>
                <w:rFonts w:ascii="Aptos" w:hAnsi="Aptos"/>
                <w:sz w:val="16"/>
                <w:szCs w:val="18"/>
              </w:rPr>
            </w:pPr>
            <w:r w:rsidRPr="00380D41">
              <w:rPr>
                <w:rFonts w:ascii="Aptos" w:hAnsi="Aptos"/>
                <w:sz w:val="16"/>
                <w:szCs w:val="16"/>
              </w:rPr>
              <w:t>List specific statements or activities you will use to focus students on the lesson</w:t>
            </w:r>
          </w:p>
          <w:p w14:paraId="7F6AD1D2" w14:textId="77777777" w:rsidR="00073030" w:rsidRPr="00380D41" w:rsidRDefault="00073030" w:rsidP="00073030">
            <w:pPr>
              <w:jc w:val="center"/>
              <w:rPr>
                <w:rFonts w:ascii="Aptos" w:hAnsi="Aptos"/>
                <w:sz w:val="16"/>
                <w:szCs w:val="18"/>
              </w:rPr>
            </w:pPr>
            <w:r w:rsidRPr="00380D41">
              <w:rPr>
                <w:rFonts w:ascii="Aptos" w:hAnsi="Aptos"/>
                <w:sz w:val="16"/>
                <w:szCs w:val="16"/>
              </w:rPr>
              <w:t>State clearly what students are learning and how it connects to prior learning.  The teacher points out possible areas for misunderstanding, uses rich language offering vocabulary development where appropriate</w:t>
            </w:r>
          </w:p>
          <w:p w14:paraId="40006AE3" w14:textId="77777777" w:rsidR="00073030" w:rsidRPr="00380D41" w:rsidRDefault="00073030" w:rsidP="00073030">
            <w:pPr>
              <w:jc w:val="center"/>
              <w:rPr>
                <w:rFonts w:ascii="Aptos" w:hAnsi="Aptos"/>
                <w:b/>
                <w:color w:val="C00000"/>
                <w:sz w:val="16"/>
                <w:szCs w:val="18"/>
              </w:rPr>
            </w:pPr>
            <w:r w:rsidRPr="00380D41">
              <w:rPr>
                <w:rFonts w:ascii="Aptos" w:hAnsi="Aptos"/>
                <w:b/>
                <w:bCs/>
                <w:color w:val="C00000"/>
                <w:sz w:val="16"/>
                <w:szCs w:val="16"/>
              </w:rPr>
              <w:t>(Eliciting-Engaging/</w:t>
            </w:r>
          </w:p>
          <w:p w14:paraId="6B115B35" w14:textId="77777777" w:rsidR="00073030" w:rsidRPr="00380D41" w:rsidRDefault="00073030" w:rsidP="00073030">
            <w:pPr>
              <w:jc w:val="center"/>
              <w:rPr>
                <w:rFonts w:ascii="Aptos" w:hAnsi="Aptos"/>
                <w:b/>
                <w:color w:val="C00000"/>
                <w:sz w:val="16"/>
                <w:szCs w:val="18"/>
              </w:rPr>
            </w:pPr>
            <w:r w:rsidRPr="00380D41">
              <w:rPr>
                <w:rFonts w:ascii="Aptos" w:hAnsi="Aptos"/>
                <w:b/>
                <w:bCs/>
                <w:color w:val="C00000"/>
                <w:sz w:val="16"/>
                <w:szCs w:val="16"/>
              </w:rPr>
              <w:lastRenderedPageBreak/>
              <w:t>Focus Question)</w:t>
            </w:r>
          </w:p>
          <w:p w14:paraId="2C8D99D0" w14:textId="33A75595" w:rsidR="00073030" w:rsidRPr="00380D41" w:rsidRDefault="00073030" w:rsidP="00073030">
            <w:pPr>
              <w:jc w:val="center"/>
              <w:rPr>
                <w:rFonts w:ascii="Aptos" w:hAnsi="Aptos"/>
                <w:sz w:val="18"/>
                <w:szCs w:val="18"/>
              </w:rPr>
            </w:pPr>
          </w:p>
        </w:tc>
        <w:tc>
          <w:tcPr>
            <w:tcW w:w="2302" w:type="dxa"/>
          </w:tcPr>
          <w:p w14:paraId="5A1BBD45" w14:textId="600E4F5F" w:rsidR="00073030" w:rsidRPr="00380D41" w:rsidRDefault="00073030" w:rsidP="00073030">
            <w:pPr>
              <w:rPr>
                <w:rFonts w:ascii="Aptos" w:hAnsi="Aptos"/>
              </w:rPr>
            </w:pPr>
            <w:r>
              <w:lastRenderedPageBreak/>
              <w:t>• Display the tulip-stem cross-section image and ask: “What do you notice about the variety of cells?”</w:t>
            </w:r>
          </w:p>
        </w:tc>
        <w:tc>
          <w:tcPr>
            <w:tcW w:w="2016" w:type="dxa"/>
          </w:tcPr>
          <w:p w14:paraId="7538E5F7" w14:textId="69CF24CF" w:rsidR="00073030" w:rsidRPr="00380D41" w:rsidRDefault="00073030" w:rsidP="00073030">
            <w:pPr>
              <w:rPr>
                <w:rFonts w:ascii="Aptos" w:hAnsi="Aptos"/>
              </w:rPr>
            </w:pPr>
            <w:r>
              <w:t>• Review the Driving Question and display the tulip-stem image: “How does studying this image help us understand plant systems?”</w:t>
            </w:r>
          </w:p>
        </w:tc>
        <w:tc>
          <w:tcPr>
            <w:tcW w:w="2248" w:type="dxa"/>
          </w:tcPr>
          <w:p w14:paraId="22DB3622" w14:textId="5C21435A" w:rsidR="00073030" w:rsidRPr="00380D41" w:rsidRDefault="00073030" w:rsidP="00073030">
            <w:pPr>
              <w:rPr>
                <w:rFonts w:ascii="Aptos" w:hAnsi="Aptos"/>
                <w:sz w:val="18"/>
                <w:szCs w:val="18"/>
              </w:rPr>
            </w:pPr>
            <w:r>
              <w:t>• Ask: “How does water move from roots to leaves? How are sugars transported back down?”</w:t>
            </w:r>
          </w:p>
        </w:tc>
        <w:tc>
          <w:tcPr>
            <w:tcW w:w="2427" w:type="dxa"/>
            <w:tcBorders>
              <w:right w:val="single" w:sz="4" w:space="0" w:color="000000" w:themeColor="text1"/>
            </w:tcBorders>
          </w:tcPr>
          <w:p w14:paraId="4EB88480" w14:textId="41698BA5" w:rsidR="00073030" w:rsidRPr="00380D41" w:rsidRDefault="00073030" w:rsidP="00073030">
            <w:pPr>
              <w:rPr>
                <w:rFonts w:ascii="Aptos" w:hAnsi="Aptos"/>
                <w:sz w:val="18"/>
                <w:szCs w:val="18"/>
              </w:rPr>
            </w:pPr>
            <w:r>
              <w:t>• Show a wilting stem and a plant bending toward light; ask, “Why are these responses important?”</w:t>
            </w:r>
          </w:p>
        </w:tc>
        <w:tc>
          <w:tcPr>
            <w:tcW w:w="2874" w:type="dxa"/>
            <w:tcBorders>
              <w:left w:val="single" w:sz="4" w:space="0" w:color="000000" w:themeColor="text1"/>
            </w:tcBorders>
          </w:tcPr>
          <w:p w14:paraId="17C00DA6" w14:textId="06C1BB1D" w:rsidR="00073030" w:rsidRPr="00380D41" w:rsidRDefault="00073030" w:rsidP="00073030">
            <w:pPr>
              <w:rPr>
                <w:rFonts w:ascii="Aptos" w:hAnsi="Aptos"/>
                <w:sz w:val="18"/>
                <w:szCs w:val="18"/>
              </w:rPr>
            </w:pPr>
            <w:r>
              <w:t>• Rapid review: three key takeaways from Explorations 1–3.</w:t>
            </w:r>
          </w:p>
        </w:tc>
      </w:tr>
      <w:tr w:rsidR="00073030" w:rsidRPr="00380D41" w14:paraId="651998D1" w14:textId="77777777" w:rsidTr="00340661">
        <w:trPr>
          <w:trHeight w:val="70"/>
        </w:trPr>
        <w:tc>
          <w:tcPr>
            <w:tcW w:w="2723" w:type="dxa"/>
            <w:vAlign w:val="center"/>
          </w:tcPr>
          <w:p w14:paraId="50109FB3" w14:textId="77777777" w:rsidR="00073030" w:rsidRPr="00380D41" w:rsidRDefault="00073030" w:rsidP="00073030">
            <w:pPr>
              <w:jc w:val="center"/>
              <w:rPr>
                <w:rFonts w:ascii="Aptos" w:hAnsi="Aptos"/>
                <w:b/>
                <w:sz w:val="18"/>
                <w:szCs w:val="18"/>
              </w:rPr>
            </w:pPr>
            <w:r w:rsidRPr="00380D41">
              <w:rPr>
                <w:rFonts w:ascii="Aptos" w:hAnsi="Aptos"/>
                <w:b/>
                <w:bCs/>
                <w:sz w:val="18"/>
                <w:szCs w:val="18"/>
              </w:rPr>
              <w:t>Direct Instruction</w:t>
            </w:r>
          </w:p>
          <w:p w14:paraId="28CB7F14" w14:textId="77777777" w:rsidR="00073030" w:rsidRPr="00380D41" w:rsidRDefault="00073030" w:rsidP="00073030">
            <w:pPr>
              <w:jc w:val="center"/>
              <w:rPr>
                <w:rFonts w:ascii="Aptos" w:hAnsi="Aptos"/>
                <w:sz w:val="16"/>
                <w:szCs w:val="18"/>
              </w:rPr>
            </w:pPr>
            <w:r w:rsidRPr="00380D41">
              <w:rPr>
                <w:rFonts w:ascii="Aptos" w:hAnsi="Aptos"/>
                <w:sz w:val="16"/>
                <w:szCs w:val="16"/>
              </w:rPr>
              <w:t>What information is essential for the student to know before beginning and will this skill be communicated?  How will you be demonstrating this skill?  Identify strategies to be used to determine if students have learned the objectives. The teacher models the process to be followed and makes connections to previous instruction.  The teacher checks for student understanding.  The teacher’s explanation is clear.  Questions and tasks are higher order and have multiple possible answers.</w:t>
            </w:r>
          </w:p>
          <w:p w14:paraId="6133C2C7" w14:textId="21D6EF12" w:rsidR="00073030" w:rsidRPr="00380D41" w:rsidRDefault="00073030" w:rsidP="00073030">
            <w:pPr>
              <w:jc w:val="center"/>
              <w:rPr>
                <w:rFonts w:ascii="Aptos" w:hAnsi="Aptos"/>
                <w:sz w:val="16"/>
                <w:szCs w:val="18"/>
              </w:rPr>
            </w:pPr>
            <w:r w:rsidRPr="00380D41">
              <w:rPr>
                <w:rFonts w:ascii="Aptos" w:hAnsi="Aptos"/>
                <w:sz w:val="16"/>
                <w:szCs w:val="16"/>
              </w:rPr>
              <w:t>(Teacher Facilitation)</w:t>
            </w:r>
          </w:p>
        </w:tc>
        <w:tc>
          <w:tcPr>
            <w:tcW w:w="2302" w:type="dxa"/>
          </w:tcPr>
          <w:p w14:paraId="1BE7C16B" w14:textId="515F9D34" w:rsidR="00073030" w:rsidRPr="00380D41" w:rsidRDefault="00073030" w:rsidP="00073030">
            <w:pPr>
              <w:rPr>
                <w:rFonts w:ascii="Aptos" w:hAnsi="Aptos" w:cs="Times New Roman"/>
                <w:color w:val="00B050"/>
                <w:sz w:val="18"/>
                <w:szCs w:val="18"/>
              </w:rPr>
            </w:pPr>
            <w:r>
              <w:t>• TELL: Explain that multicellular plants are built from diverse cell types that form tissues and organs, which interact to keep the plant alive.</w:t>
            </w:r>
            <w:r>
              <w:br/>
            </w:r>
            <w:r>
              <w:br/>
              <w:t>• COLLABORATE: Introduce the Driving Question:</w:t>
            </w:r>
            <w:r>
              <w:br/>
            </w:r>
            <w:r>
              <w:br/>
              <w:t>• How do the different types of cells in the tulip stem system work to meet the tulip’s needs?</w:t>
            </w:r>
          </w:p>
        </w:tc>
        <w:tc>
          <w:tcPr>
            <w:tcW w:w="2016" w:type="dxa"/>
          </w:tcPr>
          <w:p w14:paraId="24F3F2D3" w14:textId="1F019BDC" w:rsidR="00073030" w:rsidRPr="00380D41" w:rsidRDefault="00073030" w:rsidP="00073030">
            <w:pPr>
              <w:rPr>
                <w:rFonts w:ascii="Aptos" w:hAnsi="Aptos"/>
                <w:sz w:val="20"/>
                <w:szCs w:val="20"/>
              </w:rPr>
            </w:pPr>
            <w:r>
              <w:t>• TELL: Describe the levels of biological organization—cells → tissues → organs → organ systems—using clematis stem and water-lily examples.</w:t>
            </w:r>
          </w:p>
        </w:tc>
        <w:tc>
          <w:tcPr>
            <w:tcW w:w="2248" w:type="dxa"/>
          </w:tcPr>
          <w:p w14:paraId="3DB75109" w14:textId="70B2769C" w:rsidR="00073030" w:rsidRPr="00380D41" w:rsidRDefault="00073030" w:rsidP="00073030">
            <w:pPr>
              <w:rPr>
                <w:rFonts w:ascii="Aptos" w:hAnsi="Aptos"/>
                <w:b/>
              </w:rPr>
            </w:pPr>
            <w:r>
              <w:t>• Explain photosynthesis inputs/outputs and the roles of xylem (water) and phloem (sugar) in transport.</w:t>
            </w:r>
          </w:p>
        </w:tc>
        <w:tc>
          <w:tcPr>
            <w:tcW w:w="2427" w:type="dxa"/>
            <w:tcBorders>
              <w:right w:val="single" w:sz="4" w:space="0" w:color="000000" w:themeColor="text1"/>
            </w:tcBorders>
          </w:tcPr>
          <w:p w14:paraId="3CAC8B94" w14:textId="22B16244" w:rsidR="00073030" w:rsidRPr="00380D41" w:rsidRDefault="00073030" w:rsidP="00073030">
            <w:pPr>
              <w:rPr>
                <w:rFonts w:ascii="Aptos" w:hAnsi="Aptos"/>
                <w:sz w:val="18"/>
                <w:szCs w:val="18"/>
              </w:rPr>
            </w:pPr>
            <w:r>
              <w:t>• Describe how guard cells control stomata opening/</w:t>
            </w:r>
            <w:proofErr w:type="gramStart"/>
            <w:r>
              <w:t>closing, and</w:t>
            </w:r>
            <w:proofErr w:type="gramEnd"/>
            <w:r>
              <w:t xml:space="preserve"> explain phototropism and gravitropism.</w:t>
            </w:r>
          </w:p>
        </w:tc>
        <w:tc>
          <w:tcPr>
            <w:tcW w:w="2874" w:type="dxa"/>
            <w:tcBorders>
              <w:left w:val="single" w:sz="4" w:space="0" w:color="000000" w:themeColor="text1"/>
            </w:tcBorders>
          </w:tcPr>
          <w:p w14:paraId="42738747" w14:textId="2E3D5E70" w:rsidR="00073030" w:rsidRPr="00380D41" w:rsidRDefault="00073030" w:rsidP="00073030">
            <w:pPr>
              <w:rPr>
                <w:rFonts w:ascii="Aptos" w:hAnsi="Aptos"/>
                <w:sz w:val="18"/>
                <w:szCs w:val="18"/>
              </w:rPr>
            </w:pPr>
            <w:r>
              <w:t>• Model a CER for the Driving Question:</w:t>
            </w:r>
            <w:r>
              <w:br/>
            </w:r>
            <w:r>
              <w:br/>
              <w:t>• Claim: Different cell types in the tulip stem work together to meet the plant’s needs.</w:t>
            </w:r>
            <w:r>
              <w:br/>
            </w:r>
            <w:r>
              <w:br/>
              <w:t>• Evidence: Data from organizational, transport, and response activities.</w:t>
            </w:r>
            <w:r>
              <w:br/>
            </w:r>
            <w:r>
              <w:br/>
              <w:t>• Reasoning: How each evidence piece supports the claim.</w:t>
            </w:r>
          </w:p>
        </w:tc>
      </w:tr>
      <w:tr w:rsidR="00073030" w:rsidRPr="00380D41" w14:paraId="141EA35F" w14:textId="77777777" w:rsidTr="00340661">
        <w:trPr>
          <w:trHeight w:val="892"/>
        </w:trPr>
        <w:tc>
          <w:tcPr>
            <w:tcW w:w="2723" w:type="dxa"/>
            <w:vAlign w:val="center"/>
          </w:tcPr>
          <w:p w14:paraId="4B097419" w14:textId="77777777" w:rsidR="00073030" w:rsidRPr="00380D41" w:rsidRDefault="00073030" w:rsidP="00073030">
            <w:pPr>
              <w:jc w:val="center"/>
              <w:rPr>
                <w:rFonts w:ascii="Aptos" w:hAnsi="Aptos"/>
                <w:b/>
                <w:sz w:val="18"/>
                <w:szCs w:val="18"/>
              </w:rPr>
            </w:pPr>
            <w:r w:rsidRPr="00380D41">
              <w:rPr>
                <w:rFonts w:ascii="Aptos" w:hAnsi="Aptos"/>
                <w:b/>
                <w:bCs/>
                <w:sz w:val="18"/>
                <w:szCs w:val="18"/>
              </w:rPr>
              <w:t>Guided Practice/Monitoring</w:t>
            </w:r>
          </w:p>
          <w:p w14:paraId="44B7BCD9" w14:textId="77777777" w:rsidR="00073030" w:rsidRPr="00380D41" w:rsidRDefault="00073030" w:rsidP="00073030">
            <w:pPr>
              <w:jc w:val="center"/>
              <w:rPr>
                <w:rFonts w:ascii="Aptos" w:hAnsi="Aptos"/>
                <w:sz w:val="16"/>
                <w:szCs w:val="18"/>
              </w:rPr>
            </w:pPr>
            <w:r w:rsidRPr="00380D41">
              <w:rPr>
                <w:rFonts w:ascii="Aptos" w:hAnsi="Aptos"/>
                <w:sz w:val="16"/>
                <w:szCs w:val="16"/>
              </w:rPr>
              <w:t>List activities which will be used to guide student practice and provide a timeframe for completing this practice.  Teacher monitors individual and group understanding.  The teacher provides timely feedback. Students are actively engaged in discussions and extend them without mediation by the teacher.  Students assess and make improvements to their work.</w:t>
            </w:r>
          </w:p>
          <w:p w14:paraId="57D49B89" w14:textId="77777777" w:rsidR="00073030" w:rsidRPr="00380D41" w:rsidRDefault="00073030" w:rsidP="00073030">
            <w:pPr>
              <w:jc w:val="center"/>
              <w:rPr>
                <w:rFonts w:ascii="Aptos" w:hAnsi="Aptos"/>
                <w:b/>
                <w:color w:val="C00000"/>
                <w:sz w:val="18"/>
                <w:szCs w:val="18"/>
              </w:rPr>
            </w:pPr>
            <w:r w:rsidRPr="00380D41">
              <w:rPr>
                <w:rFonts w:ascii="Aptos" w:hAnsi="Aptos"/>
                <w:b/>
                <w:bCs/>
                <w:color w:val="C00000"/>
                <w:sz w:val="18"/>
                <w:szCs w:val="18"/>
              </w:rPr>
              <w:t>(Exploring/Explaining)</w:t>
            </w:r>
          </w:p>
          <w:p w14:paraId="125FB448" w14:textId="77777777" w:rsidR="00073030" w:rsidRPr="00380D41" w:rsidRDefault="00073030" w:rsidP="00073030">
            <w:pPr>
              <w:jc w:val="center"/>
              <w:rPr>
                <w:rFonts w:ascii="Aptos" w:hAnsi="Aptos"/>
                <w:b/>
                <w:color w:val="C00000"/>
                <w:sz w:val="18"/>
                <w:szCs w:val="18"/>
              </w:rPr>
            </w:pPr>
          </w:p>
          <w:p w14:paraId="3B1646A4" w14:textId="4D9E3FFC" w:rsidR="00073030" w:rsidRPr="00380D41" w:rsidRDefault="00073030" w:rsidP="00073030">
            <w:pPr>
              <w:jc w:val="center"/>
              <w:rPr>
                <w:rFonts w:ascii="Aptos" w:hAnsi="Aptos"/>
                <w:b/>
                <w:sz w:val="18"/>
                <w:szCs w:val="18"/>
              </w:rPr>
            </w:pPr>
          </w:p>
        </w:tc>
        <w:tc>
          <w:tcPr>
            <w:tcW w:w="2302" w:type="dxa"/>
          </w:tcPr>
          <w:p w14:paraId="60A0C277" w14:textId="16D6B3A0" w:rsidR="00073030" w:rsidRPr="00380D41" w:rsidRDefault="00073030" w:rsidP="00073030">
            <w:pPr>
              <w:rPr>
                <w:rFonts w:ascii="Aptos" w:hAnsi="Aptos"/>
                <w:sz w:val="20"/>
                <w:szCs w:val="20"/>
              </w:rPr>
            </w:pPr>
            <w:r>
              <w:t>• ANALYZE: In small groups, brainstorm questions about the tulip image. Sort into those addressing the Driving Question vs. questions for later exploration.</w:t>
            </w:r>
          </w:p>
        </w:tc>
        <w:tc>
          <w:tcPr>
            <w:tcW w:w="2016" w:type="dxa"/>
          </w:tcPr>
          <w:p w14:paraId="30DD85A9" w14:textId="6AACBDC6" w:rsidR="00073030" w:rsidRPr="00380D41" w:rsidRDefault="00073030" w:rsidP="00073030">
            <w:pPr>
              <w:rPr>
                <w:rFonts w:ascii="Aptos" w:hAnsi="Aptos"/>
                <w:sz w:val="18"/>
                <w:szCs w:val="18"/>
              </w:rPr>
            </w:pPr>
            <w:r>
              <w:t>• EXPLORATION 1 (Gather Data):</w:t>
            </w:r>
            <w:r>
              <w:br/>
            </w:r>
            <w:r>
              <w:br/>
              <w:t>• Read “Exploring Levels of Organization in Organisms.”</w:t>
            </w:r>
            <w:r>
              <w:br/>
            </w:r>
            <w:r>
              <w:br/>
              <w:t>• Complete a hierarchical graphic organizer, identifying specific cell types, tissues (dermal, vascular), organs (stem, leaf), and the root vs. shoot systems.</w:t>
            </w:r>
            <w:r>
              <w:br/>
            </w:r>
            <w:r>
              <w:br/>
              <w:t>• DISCUSS:</w:t>
            </w:r>
            <w:r>
              <w:br/>
            </w:r>
            <w:r>
              <w:lastRenderedPageBreak/>
              <w:br/>
              <w:t>• In pairs, use the clematis stem image to support the claim that specialized tissues form an organ, and the water-lily image to show how organs form organ systems.</w:t>
            </w:r>
          </w:p>
        </w:tc>
        <w:tc>
          <w:tcPr>
            <w:tcW w:w="2248" w:type="dxa"/>
          </w:tcPr>
          <w:p w14:paraId="505C154B" w14:textId="18CE4759" w:rsidR="00073030" w:rsidRPr="00380D41" w:rsidRDefault="00073030" w:rsidP="00073030">
            <w:pPr>
              <w:rPr>
                <w:rFonts w:ascii="Aptos" w:hAnsi="Aptos"/>
                <w:sz w:val="20"/>
                <w:szCs w:val="20"/>
              </w:rPr>
            </w:pPr>
            <w:r>
              <w:lastRenderedPageBreak/>
              <w:t>• EXPLORATION 2 (Gather Data): Complete the inputs/outputs diagram.</w:t>
            </w:r>
            <w:r>
              <w:br/>
            </w:r>
            <w:r>
              <w:br/>
              <w:t>• Hands-On Lab (“Observe Transport”): Follow protocol using red food coloring with asparagus vs. broccoli stems.</w:t>
            </w:r>
          </w:p>
        </w:tc>
        <w:tc>
          <w:tcPr>
            <w:tcW w:w="2427" w:type="dxa"/>
            <w:tcBorders>
              <w:right w:val="single" w:sz="4" w:space="0" w:color="000000" w:themeColor="text1"/>
            </w:tcBorders>
          </w:tcPr>
          <w:p w14:paraId="77A9C92A" w14:textId="114EB8BB" w:rsidR="00073030" w:rsidRPr="00380D41" w:rsidRDefault="00073030" w:rsidP="00073030">
            <w:pPr>
              <w:rPr>
                <w:rFonts w:ascii="Aptos" w:hAnsi="Aptos"/>
              </w:rPr>
            </w:pPr>
            <w:r>
              <w:t>• EXPLORATION 3 (Gather Data):</w:t>
            </w:r>
            <w:r>
              <w:br/>
            </w:r>
            <w:r>
              <w:br/>
              <w:t>• Calculate stomatal index on a leaf image; discuss trade-offs between gas exchange and water loss.</w:t>
            </w:r>
            <w:r>
              <w:br/>
            </w:r>
            <w:r>
              <w:br/>
              <w:t xml:space="preserve">• Examine desert plant adaptations (e.g., sundew, </w:t>
            </w:r>
            <w:proofErr w:type="spellStart"/>
            <w:r>
              <w:t>Onyanga</w:t>
            </w:r>
            <w:proofErr w:type="spellEnd"/>
            <w:r>
              <w:t>) and predict structural changes under drought.</w:t>
            </w:r>
          </w:p>
        </w:tc>
        <w:tc>
          <w:tcPr>
            <w:tcW w:w="2874" w:type="dxa"/>
            <w:tcBorders>
              <w:left w:val="single" w:sz="4" w:space="0" w:color="000000" w:themeColor="text1"/>
            </w:tcBorders>
          </w:tcPr>
          <w:p w14:paraId="4797582D" w14:textId="04A1D12D" w:rsidR="00073030" w:rsidRPr="00380D41" w:rsidRDefault="00073030" w:rsidP="00073030">
            <w:pPr>
              <w:rPr>
                <w:rFonts w:ascii="Aptos" w:hAnsi="Aptos"/>
                <w:sz w:val="18"/>
                <w:szCs w:val="18"/>
              </w:rPr>
            </w:pPr>
            <w:r>
              <w:t>• Complete one sample CER together using the Self-Check prompts.</w:t>
            </w:r>
          </w:p>
        </w:tc>
      </w:tr>
      <w:tr w:rsidR="00073030" w:rsidRPr="00380D41" w14:paraId="7E11D074" w14:textId="77777777" w:rsidTr="00340661">
        <w:trPr>
          <w:trHeight w:val="479"/>
        </w:trPr>
        <w:tc>
          <w:tcPr>
            <w:tcW w:w="2723" w:type="dxa"/>
            <w:vAlign w:val="center"/>
          </w:tcPr>
          <w:p w14:paraId="5437A800" w14:textId="77777777" w:rsidR="00073030" w:rsidRPr="00380D41" w:rsidRDefault="00073030" w:rsidP="00073030">
            <w:pPr>
              <w:jc w:val="center"/>
              <w:rPr>
                <w:rFonts w:ascii="Aptos" w:hAnsi="Aptos"/>
                <w:b/>
                <w:sz w:val="18"/>
                <w:szCs w:val="18"/>
              </w:rPr>
            </w:pPr>
            <w:r w:rsidRPr="00380D41">
              <w:rPr>
                <w:rFonts w:ascii="Aptos" w:hAnsi="Aptos"/>
                <w:b/>
                <w:bCs/>
                <w:sz w:val="18"/>
                <w:szCs w:val="18"/>
              </w:rPr>
              <w:t>Independent Practice</w:t>
            </w:r>
          </w:p>
          <w:p w14:paraId="7634E8BB" w14:textId="77777777" w:rsidR="00073030" w:rsidRPr="00380D41" w:rsidRDefault="00073030" w:rsidP="00073030">
            <w:pPr>
              <w:jc w:val="center"/>
              <w:rPr>
                <w:rFonts w:ascii="Aptos" w:hAnsi="Aptos"/>
                <w:sz w:val="16"/>
                <w:szCs w:val="18"/>
              </w:rPr>
            </w:pPr>
            <w:r w:rsidRPr="00380D41">
              <w:rPr>
                <w:rFonts w:ascii="Aptos" w:hAnsi="Aptos"/>
                <w:sz w:val="16"/>
                <w:szCs w:val="16"/>
              </w:rPr>
              <w:t>Assignments to be given to students to ensure they have mastered the skill without the teacher’s guidance.</w:t>
            </w:r>
          </w:p>
          <w:p w14:paraId="66D13AE1" w14:textId="77777777" w:rsidR="00073030" w:rsidRPr="00380D41" w:rsidRDefault="00073030" w:rsidP="00073030">
            <w:pPr>
              <w:jc w:val="center"/>
              <w:rPr>
                <w:rFonts w:ascii="Aptos" w:hAnsi="Aptos"/>
                <w:sz w:val="16"/>
                <w:szCs w:val="18"/>
              </w:rPr>
            </w:pPr>
            <w:r w:rsidRPr="00380D41">
              <w:rPr>
                <w:rFonts w:ascii="Aptos" w:hAnsi="Aptos"/>
                <w:sz w:val="16"/>
                <w:szCs w:val="16"/>
              </w:rPr>
              <w:t>Students have a choice in how they complete tasks.   Students may modify or make additions to the task based on their needs.</w:t>
            </w:r>
          </w:p>
          <w:p w14:paraId="03CCA7C7" w14:textId="77777777" w:rsidR="00073030" w:rsidRPr="00380D41" w:rsidRDefault="00073030" w:rsidP="00073030">
            <w:pPr>
              <w:jc w:val="center"/>
              <w:rPr>
                <w:rFonts w:ascii="Aptos" w:hAnsi="Aptos"/>
                <w:b/>
                <w:color w:val="C00000"/>
                <w:sz w:val="18"/>
                <w:szCs w:val="18"/>
              </w:rPr>
            </w:pPr>
            <w:r w:rsidRPr="00380D41">
              <w:rPr>
                <w:rFonts w:ascii="Aptos" w:hAnsi="Aptos"/>
                <w:b/>
                <w:bCs/>
                <w:color w:val="C00000"/>
                <w:sz w:val="18"/>
                <w:szCs w:val="18"/>
              </w:rPr>
              <w:t>(Extending/Elaborating)</w:t>
            </w:r>
          </w:p>
          <w:p w14:paraId="5D4D2F32" w14:textId="77777777" w:rsidR="00073030" w:rsidRPr="00380D41" w:rsidRDefault="00073030" w:rsidP="00073030">
            <w:pPr>
              <w:jc w:val="center"/>
              <w:rPr>
                <w:rFonts w:ascii="Aptos" w:hAnsi="Aptos"/>
                <w:b/>
                <w:color w:val="C00000"/>
                <w:sz w:val="18"/>
                <w:szCs w:val="18"/>
              </w:rPr>
            </w:pPr>
          </w:p>
          <w:p w14:paraId="529F903F" w14:textId="7C93FC01" w:rsidR="00073030" w:rsidRPr="00380D41" w:rsidRDefault="00073030" w:rsidP="00073030">
            <w:pPr>
              <w:jc w:val="center"/>
              <w:rPr>
                <w:rFonts w:ascii="Aptos" w:hAnsi="Aptos"/>
                <w:sz w:val="18"/>
                <w:szCs w:val="18"/>
              </w:rPr>
            </w:pPr>
          </w:p>
        </w:tc>
        <w:tc>
          <w:tcPr>
            <w:tcW w:w="2302" w:type="dxa"/>
          </w:tcPr>
          <w:p w14:paraId="610BBE41" w14:textId="5FA6FBF1" w:rsidR="00073030" w:rsidRPr="00380D41" w:rsidRDefault="00073030" w:rsidP="00073030">
            <w:pPr>
              <w:rPr>
                <w:rFonts w:ascii="Aptos" w:hAnsi="Aptos"/>
                <w:sz w:val="18"/>
                <w:szCs w:val="18"/>
              </w:rPr>
            </w:pPr>
            <w:r>
              <w:t>• Each student selects one Driving-Question–related question to research and records their reasoning.</w:t>
            </w:r>
          </w:p>
        </w:tc>
        <w:tc>
          <w:tcPr>
            <w:tcW w:w="2016" w:type="dxa"/>
          </w:tcPr>
          <w:p w14:paraId="1A8EA7A5" w14:textId="6766D715" w:rsidR="00073030" w:rsidRPr="00380D41" w:rsidRDefault="00073030" w:rsidP="00073030">
            <w:pPr>
              <w:rPr>
                <w:rFonts w:ascii="Aptos" w:hAnsi="Aptos"/>
                <w:b/>
                <w:i/>
                <w:sz w:val="18"/>
                <w:szCs w:val="18"/>
              </w:rPr>
            </w:pPr>
            <w:r>
              <w:t>• Write two claim–evidence sentences:</w:t>
            </w:r>
            <w:r>
              <w:br/>
            </w:r>
            <w:r>
              <w:br/>
              <w:t>• “These specialized cells form tissues that…”</w:t>
            </w:r>
            <w:r>
              <w:br/>
            </w:r>
            <w:r>
              <w:br/>
              <w:t>• “These tissues join to create organs that…”</w:t>
            </w:r>
          </w:p>
        </w:tc>
        <w:tc>
          <w:tcPr>
            <w:tcW w:w="2248" w:type="dxa"/>
          </w:tcPr>
          <w:p w14:paraId="6DC22B39" w14:textId="5A780342" w:rsidR="00073030" w:rsidRPr="00380D41" w:rsidRDefault="00073030" w:rsidP="00073030">
            <w:pPr>
              <w:rPr>
                <w:rFonts w:ascii="Aptos" w:hAnsi="Aptos"/>
                <w:sz w:val="20"/>
                <w:szCs w:val="20"/>
              </w:rPr>
            </w:pPr>
            <w:r>
              <w:t>• After 24 </w:t>
            </w:r>
            <w:proofErr w:type="spellStart"/>
            <w:r>
              <w:t>hrs</w:t>
            </w:r>
            <w:proofErr w:type="spellEnd"/>
            <w:r>
              <w:t>, measure colored-water ascent, record observations, and write a claim on how vascular arrangement affects transport.</w:t>
            </w:r>
          </w:p>
        </w:tc>
        <w:tc>
          <w:tcPr>
            <w:tcW w:w="2427" w:type="dxa"/>
            <w:tcBorders>
              <w:right w:val="single" w:sz="4" w:space="0" w:color="000000" w:themeColor="text1"/>
            </w:tcBorders>
          </w:tcPr>
          <w:p w14:paraId="4D011215" w14:textId="32C89DC5" w:rsidR="00073030" w:rsidRPr="00380D41" w:rsidRDefault="00073030" w:rsidP="00073030">
            <w:pPr>
              <w:spacing w:before="40" w:after="40"/>
              <w:rPr>
                <w:rFonts w:ascii="Aptos" w:hAnsi="Aptos"/>
                <w:b/>
                <w:bCs/>
                <w:i/>
                <w:iCs/>
                <w:sz w:val="18"/>
                <w:szCs w:val="18"/>
              </w:rPr>
            </w:pPr>
            <w:r>
              <w:t>• Write a CER paragraph explaining how dermal or guard-cell structures change in water-limited conditions.</w:t>
            </w:r>
          </w:p>
        </w:tc>
        <w:tc>
          <w:tcPr>
            <w:tcW w:w="2874" w:type="dxa"/>
            <w:tcBorders>
              <w:left w:val="single" w:sz="4" w:space="0" w:color="000000" w:themeColor="text1"/>
            </w:tcBorders>
          </w:tcPr>
          <w:p w14:paraId="3D1F8A84" w14:textId="61047B17" w:rsidR="00073030" w:rsidRPr="00380D41" w:rsidRDefault="00073030" w:rsidP="00073030">
            <w:pPr>
              <w:spacing w:before="40" w:after="40"/>
              <w:rPr>
                <w:rFonts w:ascii="Aptos" w:hAnsi="Aptos"/>
                <w:sz w:val="18"/>
                <w:szCs w:val="18"/>
              </w:rPr>
            </w:pPr>
            <w:r>
              <w:t>• Finish the Lesson Self-Check, including CER and checkpoint questions.</w:t>
            </w:r>
          </w:p>
        </w:tc>
      </w:tr>
      <w:tr w:rsidR="00073030" w:rsidRPr="00380D41" w14:paraId="464B7759" w14:textId="77777777" w:rsidTr="00340661">
        <w:trPr>
          <w:trHeight w:val="798"/>
        </w:trPr>
        <w:tc>
          <w:tcPr>
            <w:tcW w:w="2723" w:type="dxa"/>
            <w:vAlign w:val="center"/>
          </w:tcPr>
          <w:p w14:paraId="44A598D9" w14:textId="77777777" w:rsidR="00073030" w:rsidRPr="00380D41" w:rsidRDefault="00073030" w:rsidP="00073030">
            <w:pPr>
              <w:jc w:val="center"/>
              <w:rPr>
                <w:rFonts w:ascii="Aptos" w:hAnsi="Aptos"/>
                <w:b/>
                <w:sz w:val="18"/>
                <w:szCs w:val="18"/>
              </w:rPr>
            </w:pPr>
            <w:r w:rsidRPr="00380D41">
              <w:rPr>
                <w:rFonts w:ascii="Aptos" w:hAnsi="Aptos"/>
                <w:b/>
                <w:bCs/>
                <w:sz w:val="18"/>
                <w:szCs w:val="18"/>
              </w:rPr>
              <w:t>Closure</w:t>
            </w:r>
          </w:p>
          <w:p w14:paraId="1FE58331" w14:textId="77777777" w:rsidR="00073030" w:rsidRPr="00380D41" w:rsidRDefault="00073030" w:rsidP="00073030">
            <w:pPr>
              <w:jc w:val="center"/>
              <w:rPr>
                <w:rFonts w:ascii="Aptos" w:hAnsi="Aptos"/>
                <w:sz w:val="16"/>
                <w:szCs w:val="18"/>
              </w:rPr>
            </w:pPr>
            <w:r w:rsidRPr="00380D41">
              <w:rPr>
                <w:rFonts w:ascii="Aptos" w:hAnsi="Aptos"/>
                <w:sz w:val="16"/>
                <w:szCs w:val="16"/>
              </w:rPr>
              <w:t xml:space="preserve">What method of review and evaluation will be used to complete the lesson. Students have an opportunity for reflection, answer open-ended questions, provide reasonable responses and explanations to events or phenomena, sense-making, and closure. </w:t>
            </w:r>
          </w:p>
          <w:p w14:paraId="42E6B7C8" w14:textId="77777777" w:rsidR="00073030" w:rsidRPr="00380D41" w:rsidRDefault="00073030" w:rsidP="00073030">
            <w:pPr>
              <w:jc w:val="center"/>
              <w:rPr>
                <w:rFonts w:ascii="Aptos" w:hAnsi="Aptos"/>
                <w:sz w:val="16"/>
                <w:szCs w:val="18"/>
              </w:rPr>
            </w:pPr>
            <w:r w:rsidRPr="00380D41">
              <w:rPr>
                <w:rFonts w:ascii="Aptos" w:hAnsi="Aptos"/>
                <w:sz w:val="16"/>
                <w:szCs w:val="16"/>
              </w:rPr>
              <w:t xml:space="preserve">  Teacher cites multiple approaches for those students who experience difficulties.  The teacher conveys that the lesson is not “done” until all students understand. </w:t>
            </w:r>
          </w:p>
          <w:p w14:paraId="28254A5A" w14:textId="77777777" w:rsidR="00073030" w:rsidRPr="00380D41" w:rsidRDefault="00073030" w:rsidP="00073030">
            <w:pPr>
              <w:jc w:val="center"/>
              <w:rPr>
                <w:rFonts w:ascii="Aptos" w:hAnsi="Aptos"/>
                <w:b/>
                <w:color w:val="C00000"/>
                <w:sz w:val="18"/>
                <w:szCs w:val="18"/>
              </w:rPr>
            </w:pPr>
            <w:r w:rsidRPr="00380D41">
              <w:rPr>
                <w:rFonts w:ascii="Aptos" w:hAnsi="Aptos"/>
                <w:b/>
                <w:bCs/>
                <w:color w:val="C00000"/>
                <w:sz w:val="18"/>
                <w:szCs w:val="18"/>
              </w:rPr>
              <w:t>(Evaluating)</w:t>
            </w:r>
          </w:p>
          <w:p w14:paraId="6B65A314" w14:textId="751869F4" w:rsidR="00073030" w:rsidRPr="00380D41" w:rsidRDefault="00073030" w:rsidP="00073030">
            <w:pPr>
              <w:jc w:val="center"/>
              <w:rPr>
                <w:rFonts w:ascii="Aptos" w:hAnsi="Aptos"/>
                <w:sz w:val="18"/>
                <w:szCs w:val="18"/>
              </w:rPr>
            </w:pPr>
          </w:p>
        </w:tc>
        <w:tc>
          <w:tcPr>
            <w:tcW w:w="2302" w:type="dxa"/>
            <w:tcBorders>
              <w:right w:val="single" w:sz="4" w:space="0" w:color="000000" w:themeColor="text1"/>
            </w:tcBorders>
          </w:tcPr>
          <w:p w14:paraId="1B061FC5" w14:textId="1F615362" w:rsidR="00073030" w:rsidRPr="00380D41" w:rsidRDefault="00073030" w:rsidP="00073030">
            <w:pPr>
              <w:rPr>
                <w:rFonts w:ascii="Aptos" w:hAnsi="Aptos"/>
                <w:sz w:val="20"/>
                <w:szCs w:val="20"/>
              </w:rPr>
            </w:pPr>
            <w:r>
              <w:t>• Groups share one key question to set the stage for tomorrow’s Exploration 1.</w:t>
            </w:r>
          </w:p>
        </w:tc>
        <w:tc>
          <w:tcPr>
            <w:tcW w:w="2016" w:type="dxa"/>
            <w:tcBorders>
              <w:left w:val="single" w:sz="4" w:space="0" w:color="000000" w:themeColor="text1"/>
              <w:right w:val="single" w:sz="4" w:space="0" w:color="000000" w:themeColor="text1"/>
            </w:tcBorders>
          </w:tcPr>
          <w:p w14:paraId="4593D1E1" w14:textId="748A77B4" w:rsidR="00073030" w:rsidRPr="00380D41" w:rsidRDefault="00073030" w:rsidP="00073030">
            <w:pPr>
              <w:widowControl w:val="0"/>
              <w:autoSpaceDE w:val="0"/>
              <w:autoSpaceDN w:val="0"/>
              <w:adjustRightInd w:val="0"/>
              <w:spacing w:before="60" w:after="60"/>
              <w:ind w:right="174"/>
              <w:rPr>
                <w:rFonts w:ascii="Aptos" w:hAnsi="Aptos"/>
                <w:sz w:val="20"/>
                <w:szCs w:val="20"/>
              </w:rPr>
            </w:pPr>
            <w:r>
              <w:t>• Volunteers share one claim–evidence sentence; whole class refines language for precision.</w:t>
            </w:r>
          </w:p>
        </w:tc>
        <w:tc>
          <w:tcPr>
            <w:tcW w:w="2248" w:type="dxa"/>
            <w:tcBorders>
              <w:left w:val="single" w:sz="4" w:space="0" w:color="000000" w:themeColor="text1"/>
              <w:right w:val="single" w:sz="4" w:space="0" w:color="000000" w:themeColor="text1"/>
            </w:tcBorders>
          </w:tcPr>
          <w:p w14:paraId="52E7858B" w14:textId="69FB0AEE" w:rsidR="00073030" w:rsidRPr="00380D41" w:rsidRDefault="00073030" w:rsidP="00073030">
            <w:pPr>
              <w:rPr>
                <w:rFonts w:ascii="Aptos" w:hAnsi="Aptos"/>
                <w:sz w:val="20"/>
                <w:szCs w:val="20"/>
              </w:rPr>
            </w:pPr>
            <w:r>
              <w:t>• Groups share one piece of evidence that supports xylem or phloem function.</w:t>
            </w:r>
          </w:p>
        </w:tc>
        <w:tc>
          <w:tcPr>
            <w:tcW w:w="2427" w:type="dxa"/>
            <w:tcBorders>
              <w:left w:val="single" w:sz="4" w:space="0" w:color="000000" w:themeColor="text1"/>
              <w:right w:val="single" w:sz="4" w:space="0" w:color="000000" w:themeColor="text1"/>
            </w:tcBorders>
          </w:tcPr>
          <w:p w14:paraId="16FB196A" w14:textId="363F766F" w:rsidR="00073030" w:rsidRPr="00380D41" w:rsidRDefault="00073030" w:rsidP="00073030">
            <w:pPr>
              <w:rPr>
                <w:rFonts w:ascii="Aptos" w:hAnsi="Aptos"/>
                <w:sz w:val="20"/>
                <w:szCs w:val="20"/>
              </w:rPr>
            </w:pPr>
            <w:r>
              <w:t>• Share one adaptation example that illustrates structure–function in response to environment.</w:t>
            </w:r>
          </w:p>
        </w:tc>
        <w:tc>
          <w:tcPr>
            <w:tcW w:w="2874" w:type="dxa"/>
            <w:tcBorders>
              <w:left w:val="single" w:sz="4" w:space="0" w:color="000000" w:themeColor="text1"/>
            </w:tcBorders>
          </w:tcPr>
          <w:p w14:paraId="3A0AAAE9" w14:textId="4DF83366" w:rsidR="00073030" w:rsidRPr="00380D41" w:rsidRDefault="00073030" w:rsidP="00073030">
            <w:pPr>
              <w:rPr>
                <w:rFonts w:ascii="Aptos" w:hAnsi="Aptos"/>
                <w:color w:val="00B050"/>
                <w:sz w:val="20"/>
                <w:szCs w:val="20"/>
              </w:rPr>
            </w:pPr>
            <w:r>
              <w:t>• Optionally, students create a comic or poem using key vocabulary (tissue, transport, response, organ system).</w:t>
            </w:r>
          </w:p>
        </w:tc>
      </w:tr>
      <w:tr w:rsidR="006E4085" w:rsidRPr="00380D41" w14:paraId="34F4AD97" w14:textId="77777777" w:rsidTr="00FB70FD">
        <w:trPr>
          <w:trHeight w:val="522"/>
        </w:trPr>
        <w:tc>
          <w:tcPr>
            <w:tcW w:w="2723" w:type="dxa"/>
            <w:vAlign w:val="center"/>
          </w:tcPr>
          <w:p w14:paraId="582E6ED7" w14:textId="297D8575" w:rsidR="006E4085" w:rsidRPr="00380D41" w:rsidRDefault="006E4085" w:rsidP="004644EC">
            <w:pPr>
              <w:jc w:val="center"/>
              <w:rPr>
                <w:rFonts w:ascii="Aptos" w:hAnsi="Aptos"/>
                <w:b/>
                <w:sz w:val="18"/>
                <w:szCs w:val="18"/>
              </w:rPr>
            </w:pPr>
            <w:r w:rsidRPr="00380D41">
              <w:rPr>
                <w:rFonts w:ascii="Aptos" w:hAnsi="Aptos"/>
                <w:b/>
                <w:bCs/>
                <w:sz w:val="18"/>
                <w:szCs w:val="18"/>
              </w:rPr>
              <w:t>Differentiation</w:t>
            </w:r>
          </w:p>
          <w:p w14:paraId="085F2253" w14:textId="77777777" w:rsidR="006E4085" w:rsidRPr="00380D41" w:rsidRDefault="006E4085" w:rsidP="004644EC">
            <w:pPr>
              <w:jc w:val="center"/>
              <w:rPr>
                <w:rFonts w:ascii="Aptos" w:hAnsi="Aptos"/>
                <w:b/>
                <w:i/>
                <w:sz w:val="18"/>
                <w:szCs w:val="18"/>
              </w:rPr>
            </w:pPr>
            <w:r w:rsidRPr="00380D41">
              <w:rPr>
                <w:rFonts w:ascii="Aptos" w:hAnsi="Aptos"/>
                <w:b/>
                <w:bCs/>
                <w:i/>
                <w:iCs/>
                <w:sz w:val="18"/>
                <w:szCs w:val="18"/>
              </w:rPr>
              <w:t>(GE, SPE, ELL, 504, GT)</w:t>
            </w:r>
          </w:p>
          <w:p w14:paraId="44B47310" w14:textId="77777777" w:rsidR="006E4085" w:rsidRPr="00380D41" w:rsidRDefault="006E4085" w:rsidP="004644EC">
            <w:pPr>
              <w:jc w:val="center"/>
              <w:rPr>
                <w:rFonts w:ascii="Aptos" w:hAnsi="Aptos"/>
                <w:b/>
                <w:sz w:val="18"/>
                <w:szCs w:val="18"/>
              </w:rPr>
            </w:pPr>
            <w:r w:rsidRPr="00380D41">
              <w:rPr>
                <w:rFonts w:ascii="Aptos" w:hAnsi="Aptos"/>
                <w:b/>
                <w:bCs/>
                <w:sz w:val="18"/>
                <w:szCs w:val="18"/>
              </w:rPr>
              <w:t>Include student initials</w:t>
            </w:r>
          </w:p>
        </w:tc>
        <w:tc>
          <w:tcPr>
            <w:tcW w:w="11867" w:type="dxa"/>
            <w:gridSpan w:val="5"/>
          </w:tcPr>
          <w:p w14:paraId="47AB7215" w14:textId="77777777" w:rsidR="006E4085" w:rsidRPr="00380D41" w:rsidRDefault="006E4085" w:rsidP="004644EC">
            <w:pPr>
              <w:rPr>
                <w:rFonts w:ascii="Aptos" w:hAnsi="Aptos"/>
                <w:sz w:val="18"/>
                <w:szCs w:val="18"/>
              </w:rPr>
            </w:pPr>
          </w:p>
          <w:p w14:paraId="657BF265" w14:textId="77777777" w:rsidR="006E4085" w:rsidRPr="00380D41" w:rsidRDefault="006E4085" w:rsidP="006E4085">
            <w:pPr>
              <w:rPr>
                <w:rFonts w:ascii="Aptos" w:hAnsi="Aptos"/>
                <w:sz w:val="18"/>
                <w:szCs w:val="18"/>
              </w:rPr>
            </w:pPr>
            <w:r w:rsidRPr="00380D41">
              <w:rPr>
                <w:rFonts w:ascii="Aptos" w:hAnsi="Aptos"/>
                <w:sz w:val="18"/>
                <w:szCs w:val="18"/>
              </w:rPr>
              <w:t xml:space="preserve">ELL students are provided English and Spanish version, and extra time if needed. Work with students who </w:t>
            </w:r>
            <w:proofErr w:type="gramStart"/>
            <w:r w:rsidRPr="00380D41">
              <w:rPr>
                <w:rFonts w:ascii="Aptos" w:hAnsi="Aptos"/>
                <w:sz w:val="18"/>
                <w:szCs w:val="18"/>
              </w:rPr>
              <w:t>are able to</w:t>
            </w:r>
            <w:proofErr w:type="gramEnd"/>
            <w:r w:rsidRPr="00380D41">
              <w:rPr>
                <w:rFonts w:ascii="Aptos" w:hAnsi="Aptos"/>
                <w:sz w:val="18"/>
                <w:szCs w:val="18"/>
              </w:rPr>
              <w:t xml:space="preserve"> help with translation.</w:t>
            </w:r>
          </w:p>
          <w:p w14:paraId="5F0F07B9" w14:textId="77777777" w:rsidR="006E4085" w:rsidRPr="00380D41" w:rsidRDefault="006E4085" w:rsidP="006E4085">
            <w:pPr>
              <w:rPr>
                <w:rFonts w:ascii="Aptos" w:hAnsi="Aptos"/>
                <w:sz w:val="18"/>
                <w:szCs w:val="18"/>
              </w:rPr>
            </w:pPr>
            <w:r w:rsidRPr="00380D41">
              <w:rPr>
                <w:rFonts w:ascii="Aptos" w:hAnsi="Aptos"/>
                <w:sz w:val="18"/>
                <w:szCs w:val="18"/>
              </w:rPr>
              <w:t>SPE students- extra time if needed. Visual aids. Create illustrations to show understanding of concepts, extra time.</w:t>
            </w:r>
          </w:p>
          <w:p w14:paraId="5EA827C9" w14:textId="77777777" w:rsidR="006E4085" w:rsidRPr="00380D41" w:rsidRDefault="006E4085" w:rsidP="006E4085">
            <w:pPr>
              <w:rPr>
                <w:rFonts w:ascii="Aptos" w:hAnsi="Aptos"/>
                <w:sz w:val="18"/>
                <w:szCs w:val="18"/>
              </w:rPr>
            </w:pPr>
            <w:r w:rsidRPr="00380D41">
              <w:rPr>
                <w:rFonts w:ascii="Aptos" w:hAnsi="Aptos"/>
                <w:sz w:val="18"/>
                <w:szCs w:val="18"/>
              </w:rPr>
              <w:t>RC, MH, UW</w:t>
            </w:r>
          </w:p>
          <w:p w14:paraId="17445FA8" w14:textId="77777777" w:rsidR="006E4085" w:rsidRPr="00380D41" w:rsidRDefault="006E4085" w:rsidP="004644EC">
            <w:pPr>
              <w:rPr>
                <w:rFonts w:ascii="Aptos" w:hAnsi="Aptos"/>
                <w:sz w:val="18"/>
                <w:szCs w:val="18"/>
              </w:rPr>
            </w:pPr>
          </w:p>
          <w:p w14:paraId="4DEDC03C" w14:textId="77777777" w:rsidR="006E4085" w:rsidRPr="00380D41" w:rsidRDefault="006E4085" w:rsidP="004644EC">
            <w:pPr>
              <w:rPr>
                <w:rFonts w:ascii="Aptos" w:hAnsi="Aptos"/>
                <w:sz w:val="18"/>
                <w:szCs w:val="18"/>
              </w:rPr>
            </w:pPr>
          </w:p>
        </w:tc>
      </w:tr>
    </w:tbl>
    <w:tbl>
      <w:tblPr>
        <w:tblW w:w="14491" w:type="dxa"/>
        <w:tblLayout w:type="fixed"/>
        <w:tblLook w:val="0000" w:firstRow="0" w:lastRow="0" w:firstColumn="0" w:lastColumn="0" w:noHBand="0" w:noVBand="0"/>
      </w:tblPr>
      <w:tblGrid>
        <w:gridCol w:w="2898"/>
        <w:gridCol w:w="2898"/>
        <w:gridCol w:w="3109"/>
        <w:gridCol w:w="2880"/>
        <w:gridCol w:w="2706"/>
      </w:tblGrid>
      <w:tr w:rsidR="004644EC" w:rsidRPr="00380D41" w14:paraId="32FB712B" w14:textId="77777777" w:rsidTr="00223B55">
        <w:trPr>
          <w:trHeight w:val="74"/>
        </w:trPr>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B453FF" w14:textId="77777777" w:rsidR="004644EC" w:rsidRPr="00380D41" w:rsidRDefault="613E2E10" w:rsidP="00223B55">
            <w:pPr>
              <w:spacing w:after="0" w:line="100" w:lineRule="atLeast"/>
              <w:jc w:val="center"/>
              <w:rPr>
                <w:rFonts w:ascii="Aptos" w:hAnsi="Aptos" w:cs="Arial"/>
                <w:b/>
                <w:sz w:val="16"/>
                <w:szCs w:val="16"/>
              </w:rPr>
            </w:pPr>
            <w:r w:rsidRPr="00380D41">
              <w:rPr>
                <w:rFonts w:ascii="Aptos" w:eastAsia="Arial" w:hAnsi="Aptos" w:cs="Arial"/>
                <w:b/>
                <w:bCs/>
                <w:sz w:val="16"/>
                <w:szCs w:val="16"/>
              </w:rPr>
              <w:lastRenderedPageBreak/>
              <w:t>Anticipatory Set</w:t>
            </w:r>
          </w:p>
          <w:p w14:paraId="060724D3" w14:textId="77777777" w:rsidR="004644EC" w:rsidRPr="00380D41" w:rsidRDefault="613E2E10" w:rsidP="00223B55">
            <w:pPr>
              <w:suppressAutoHyphens/>
              <w:spacing w:after="0" w:line="100" w:lineRule="atLeast"/>
              <w:jc w:val="center"/>
              <w:rPr>
                <w:rFonts w:ascii="Aptos" w:hAnsi="Aptos" w:cs="Arial"/>
                <w:sz w:val="16"/>
                <w:szCs w:val="16"/>
              </w:rPr>
            </w:pPr>
            <w:r w:rsidRPr="00380D41">
              <w:rPr>
                <w:rFonts w:ascii="Aptos" w:eastAsia="Arial" w:hAnsi="Aptos" w:cs="Arial"/>
                <w:b/>
                <w:bCs/>
                <w:color w:val="C00000"/>
                <w:sz w:val="16"/>
                <w:szCs w:val="16"/>
              </w:rPr>
              <w:t>(Eliciting/Engaging)</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1C5531" w14:textId="77777777" w:rsidR="004644EC" w:rsidRPr="00380D41" w:rsidRDefault="613E2E10" w:rsidP="00223B55">
            <w:pPr>
              <w:spacing w:after="0" w:line="100" w:lineRule="atLeast"/>
              <w:jc w:val="center"/>
              <w:rPr>
                <w:rFonts w:ascii="Aptos" w:hAnsi="Aptos" w:cs="Arial"/>
                <w:b/>
                <w:sz w:val="16"/>
                <w:szCs w:val="16"/>
              </w:rPr>
            </w:pPr>
            <w:r w:rsidRPr="00380D41">
              <w:rPr>
                <w:rFonts w:ascii="Aptos" w:eastAsia="Arial" w:hAnsi="Aptos" w:cs="Arial"/>
                <w:b/>
                <w:bCs/>
                <w:sz w:val="16"/>
                <w:szCs w:val="16"/>
              </w:rPr>
              <w:t>Direct Instruction</w:t>
            </w:r>
          </w:p>
          <w:p w14:paraId="68FD2EE3" w14:textId="77777777" w:rsidR="004644EC" w:rsidRPr="00380D41" w:rsidRDefault="613E2E10" w:rsidP="00223B55">
            <w:pPr>
              <w:spacing w:after="0" w:line="100" w:lineRule="atLeast"/>
              <w:jc w:val="center"/>
              <w:rPr>
                <w:rFonts w:ascii="Aptos" w:hAnsi="Aptos" w:cs="Arial"/>
                <w:b/>
                <w:color w:val="C00000"/>
                <w:sz w:val="16"/>
                <w:szCs w:val="16"/>
              </w:rPr>
            </w:pPr>
            <w:r w:rsidRPr="00380D41">
              <w:rPr>
                <w:rFonts w:ascii="Aptos" w:eastAsia="Arial" w:hAnsi="Aptos" w:cs="Arial"/>
                <w:b/>
                <w:bCs/>
                <w:sz w:val="16"/>
                <w:szCs w:val="16"/>
              </w:rPr>
              <w:t>(Teacher Facilitation)</w:t>
            </w:r>
          </w:p>
        </w:tc>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FC9E7E" w14:textId="77777777" w:rsidR="004644EC" w:rsidRPr="00380D41" w:rsidRDefault="613E2E10" w:rsidP="00223B55">
            <w:pPr>
              <w:spacing w:after="0" w:line="100" w:lineRule="atLeast"/>
              <w:jc w:val="center"/>
              <w:rPr>
                <w:rFonts w:ascii="Aptos" w:hAnsi="Aptos" w:cs="Arial"/>
                <w:b/>
                <w:sz w:val="16"/>
                <w:szCs w:val="16"/>
              </w:rPr>
            </w:pPr>
            <w:r w:rsidRPr="00380D41">
              <w:rPr>
                <w:rFonts w:ascii="Aptos" w:eastAsia="Arial" w:hAnsi="Aptos" w:cs="Arial"/>
                <w:b/>
                <w:bCs/>
                <w:sz w:val="16"/>
                <w:szCs w:val="16"/>
              </w:rPr>
              <w:t>Guided Practice/Monitoring</w:t>
            </w:r>
          </w:p>
          <w:p w14:paraId="1D59346C" w14:textId="77777777" w:rsidR="004644EC" w:rsidRPr="00380D41" w:rsidRDefault="613E2E10" w:rsidP="00223B55">
            <w:pPr>
              <w:suppressAutoHyphens/>
              <w:spacing w:after="0" w:line="100" w:lineRule="atLeast"/>
              <w:jc w:val="center"/>
              <w:rPr>
                <w:rFonts w:ascii="Aptos" w:hAnsi="Aptos" w:cs="Arial"/>
                <w:sz w:val="16"/>
                <w:szCs w:val="16"/>
              </w:rPr>
            </w:pPr>
            <w:r w:rsidRPr="00380D41">
              <w:rPr>
                <w:rFonts w:ascii="Aptos" w:eastAsia="Arial" w:hAnsi="Aptos" w:cs="Arial"/>
                <w:b/>
                <w:bCs/>
                <w:color w:val="C00000"/>
                <w:sz w:val="16"/>
                <w:szCs w:val="16"/>
              </w:rPr>
              <w:t>(Exploring/Explaining)</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23CD540" w14:textId="77777777" w:rsidR="004644EC" w:rsidRPr="00380D41" w:rsidRDefault="613E2E10" w:rsidP="00223B55">
            <w:pPr>
              <w:spacing w:after="0" w:line="100" w:lineRule="atLeast"/>
              <w:jc w:val="center"/>
              <w:rPr>
                <w:rFonts w:ascii="Aptos" w:hAnsi="Aptos" w:cs="Arial"/>
                <w:b/>
                <w:sz w:val="16"/>
                <w:szCs w:val="16"/>
              </w:rPr>
            </w:pPr>
            <w:r w:rsidRPr="00380D41">
              <w:rPr>
                <w:rFonts w:ascii="Aptos" w:eastAsia="Arial" w:hAnsi="Aptos" w:cs="Arial"/>
                <w:b/>
                <w:bCs/>
                <w:sz w:val="16"/>
                <w:szCs w:val="16"/>
              </w:rPr>
              <w:t>Independent Practice</w:t>
            </w:r>
          </w:p>
          <w:p w14:paraId="72CDACB2" w14:textId="77777777" w:rsidR="004644EC" w:rsidRPr="00380D41" w:rsidRDefault="613E2E10" w:rsidP="00223B55">
            <w:pPr>
              <w:spacing w:after="0" w:line="100" w:lineRule="atLeast"/>
              <w:jc w:val="center"/>
              <w:rPr>
                <w:rFonts w:ascii="Aptos" w:hAnsi="Aptos" w:cs="Arial"/>
                <w:b/>
                <w:color w:val="C00000"/>
                <w:sz w:val="16"/>
                <w:szCs w:val="16"/>
              </w:rPr>
            </w:pPr>
            <w:r w:rsidRPr="00380D41">
              <w:rPr>
                <w:rFonts w:ascii="Aptos" w:eastAsia="Arial" w:hAnsi="Aptos" w:cs="Arial"/>
                <w:b/>
                <w:bCs/>
                <w:color w:val="C00000"/>
                <w:sz w:val="16"/>
                <w:szCs w:val="16"/>
              </w:rPr>
              <w:t>(Extending/Elaborating)</w:t>
            </w:r>
          </w:p>
        </w:tc>
        <w:tc>
          <w:tcPr>
            <w:tcW w:w="27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7672E90" w14:textId="77777777" w:rsidR="004644EC" w:rsidRPr="00380D41" w:rsidRDefault="613E2E10" w:rsidP="00223B55">
            <w:pPr>
              <w:spacing w:after="0" w:line="100" w:lineRule="atLeast"/>
              <w:jc w:val="center"/>
              <w:rPr>
                <w:rFonts w:ascii="Aptos" w:hAnsi="Aptos" w:cs="Arial"/>
                <w:b/>
                <w:sz w:val="16"/>
                <w:szCs w:val="16"/>
              </w:rPr>
            </w:pPr>
            <w:r w:rsidRPr="00380D41">
              <w:rPr>
                <w:rFonts w:ascii="Aptos" w:eastAsia="Arial" w:hAnsi="Aptos" w:cs="Arial"/>
                <w:b/>
                <w:bCs/>
                <w:sz w:val="16"/>
                <w:szCs w:val="16"/>
              </w:rPr>
              <w:t>Closure</w:t>
            </w:r>
          </w:p>
          <w:p w14:paraId="2C722B7F" w14:textId="77777777" w:rsidR="004644EC" w:rsidRPr="00380D41" w:rsidRDefault="613E2E10" w:rsidP="00223B55">
            <w:pPr>
              <w:spacing w:after="0" w:line="100" w:lineRule="atLeast"/>
              <w:jc w:val="center"/>
              <w:rPr>
                <w:rFonts w:ascii="Aptos" w:hAnsi="Aptos" w:cs="Arial"/>
                <w:b/>
                <w:color w:val="C00000"/>
                <w:sz w:val="16"/>
                <w:szCs w:val="16"/>
              </w:rPr>
            </w:pPr>
            <w:r w:rsidRPr="00380D41">
              <w:rPr>
                <w:rFonts w:ascii="Aptos" w:eastAsia="Arial" w:hAnsi="Aptos" w:cs="Arial"/>
                <w:b/>
                <w:bCs/>
                <w:color w:val="C00000"/>
                <w:sz w:val="16"/>
                <w:szCs w:val="16"/>
              </w:rPr>
              <w:t>(Evaluating)</w:t>
            </w:r>
          </w:p>
        </w:tc>
      </w:tr>
      <w:tr w:rsidR="004644EC" w:rsidRPr="00380D41" w14:paraId="4D8E0079" w14:textId="77777777" w:rsidTr="00223B55">
        <w:trPr>
          <w:trHeight w:val="599"/>
        </w:trPr>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3143C7" w14:textId="77777777" w:rsidR="004644EC" w:rsidRPr="00380D41" w:rsidRDefault="613E2E10" w:rsidP="00223B55">
            <w:pPr>
              <w:spacing w:line="100" w:lineRule="atLeast"/>
              <w:rPr>
                <w:rFonts w:ascii="Aptos" w:hAnsi="Aptos" w:cs="Arial"/>
                <w:sz w:val="16"/>
                <w:szCs w:val="16"/>
              </w:rPr>
            </w:pPr>
            <w:r w:rsidRPr="00380D41">
              <w:rPr>
                <w:rFonts w:ascii="Aptos" w:eastAsia="Arial" w:hAnsi="Aptos" w:cs="Arial"/>
                <w:sz w:val="16"/>
                <w:szCs w:val="16"/>
              </w:rPr>
              <w:t>Admit slips, Do Now, essential questions, writing journals</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4021C3C" w14:textId="77777777" w:rsidR="004644EC" w:rsidRPr="00380D41" w:rsidRDefault="613E2E10" w:rsidP="00223B55">
            <w:pPr>
              <w:spacing w:line="100" w:lineRule="atLeast"/>
              <w:rPr>
                <w:rFonts w:ascii="Aptos" w:hAnsi="Aptos" w:cs="Arial"/>
                <w:sz w:val="16"/>
                <w:szCs w:val="16"/>
              </w:rPr>
            </w:pPr>
            <w:r w:rsidRPr="00380D41">
              <w:rPr>
                <w:rFonts w:ascii="Aptos" w:eastAsia="Arial" w:hAnsi="Aptos" w:cs="Arial"/>
                <w:sz w:val="16"/>
                <w:szCs w:val="16"/>
              </w:rPr>
              <w:t>Media presentations, lecture/guided notes, interactive discussion, modeling/I do,</w:t>
            </w:r>
          </w:p>
        </w:tc>
        <w:tc>
          <w:tcPr>
            <w:tcW w:w="31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01F5DA" w14:textId="77777777" w:rsidR="004644EC" w:rsidRPr="00380D41" w:rsidRDefault="613E2E10" w:rsidP="00223B55">
            <w:pPr>
              <w:spacing w:line="100" w:lineRule="atLeast"/>
              <w:rPr>
                <w:rFonts w:ascii="Aptos" w:hAnsi="Aptos" w:cs="Arial"/>
                <w:sz w:val="16"/>
                <w:szCs w:val="16"/>
              </w:rPr>
            </w:pPr>
            <w:r w:rsidRPr="00380D41">
              <w:rPr>
                <w:rFonts w:ascii="Aptos" w:eastAsia="Arial" w:hAnsi="Aptos" w:cs="Arial"/>
                <w:sz w:val="16"/>
                <w:szCs w:val="16"/>
              </w:rPr>
              <w:t xml:space="preserve"> Practice active reading, ask/answer questions, use manipulatives, peer review/revision, we do</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6416DB0" w14:textId="77777777" w:rsidR="004644EC" w:rsidRPr="00380D41" w:rsidRDefault="613E2E10" w:rsidP="00223B55">
            <w:pPr>
              <w:spacing w:line="100" w:lineRule="atLeast"/>
              <w:rPr>
                <w:rFonts w:ascii="Aptos" w:hAnsi="Aptos" w:cs="Arial"/>
                <w:sz w:val="16"/>
                <w:szCs w:val="16"/>
              </w:rPr>
            </w:pPr>
            <w:r w:rsidRPr="00380D41">
              <w:rPr>
                <w:rFonts w:ascii="Aptos" w:eastAsia="Arial" w:hAnsi="Aptos" w:cs="Arial"/>
                <w:sz w:val="16"/>
                <w:szCs w:val="16"/>
              </w:rPr>
              <w:t>Draft writing, revise work, design/construct other problems/questions/labs, you do,</w:t>
            </w:r>
          </w:p>
        </w:tc>
        <w:tc>
          <w:tcPr>
            <w:tcW w:w="27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19A2FA" w14:textId="77777777" w:rsidR="004644EC" w:rsidRPr="00380D41" w:rsidRDefault="613E2E10" w:rsidP="00223B55">
            <w:pPr>
              <w:spacing w:line="100" w:lineRule="atLeast"/>
              <w:rPr>
                <w:rFonts w:ascii="Aptos" w:hAnsi="Aptos" w:cs="Arial"/>
                <w:sz w:val="16"/>
                <w:szCs w:val="16"/>
              </w:rPr>
            </w:pPr>
            <w:r w:rsidRPr="00380D41">
              <w:rPr>
                <w:rFonts w:ascii="Aptos" w:eastAsia="Arial" w:hAnsi="Aptos" w:cs="Arial"/>
                <w:sz w:val="16"/>
                <w:szCs w:val="16"/>
              </w:rPr>
              <w:t>Exit slip, review major points, summary statement, student reflection activity,</w:t>
            </w:r>
          </w:p>
        </w:tc>
      </w:tr>
    </w:tbl>
    <w:p w14:paraId="5BB50FE0" w14:textId="77777777" w:rsidR="00345DD2" w:rsidRPr="00380D41" w:rsidRDefault="00345DD2" w:rsidP="007B33AE">
      <w:pPr>
        <w:rPr>
          <w:rFonts w:ascii="Aptos" w:hAnsi="Aptos"/>
          <w:sz w:val="18"/>
          <w:szCs w:val="18"/>
        </w:rPr>
      </w:pPr>
    </w:p>
    <w:tbl>
      <w:tblPr>
        <w:tblW w:w="14508" w:type="dxa"/>
        <w:tblLayout w:type="fixed"/>
        <w:tblLook w:val="0000" w:firstRow="0" w:lastRow="0" w:firstColumn="0" w:lastColumn="0" w:noHBand="0" w:noVBand="0"/>
      </w:tblPr>
      <w:tblGrid>
        <w:gridCol w:w="7308"/>
        <w:gridCol w:w="7200"/>
      </w:tblGrid>
      <w:tr w:rsidR="00A43D42" w:rsidRPr="00380D41" w14:paraId="3FBEB6BE" w14:textId="77777777" w:rsidTr="00223B55">
        <w:trPr>
          <w:trHeight w:val="216"/>
        </w:trPr>
        <w:tc>
          <w:tcPr>
            <w:tcW w:w="145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C2EF01F" w14:textId="77777777" w:rsidR="00A43D42" w:rsidRPr="00380D41" w:rsidRDefault="613E2E10" w:rsidP="00223B55">
            <w:pPr>
              <w:pStyle w:val="ColorfulList-Accent11"/>
              <w:spacing w:line="100" w:lineRule="atLeast"/>
              <w:jc w:val="center"/>
              <w:rPr>
                <w:rFonts w:ascii="Aptos" w:hAnsi="Aptos" w:cs="Arial"/>
                <w:sz w:val="16"/>
                <w:szCs w:val="16"/>
              </w:rPr>
            </w:pPr>
            <w:r w:rsidRPr="00380D41">
              <w:rPr>
                <w:rFonts w:ascii="Aptos" w:eastAsia="Arial" w:hAnsi="Aptos" w:cs="Arial"/>
                <w:b/>
                <w:bCs/>
                <w:sz w:val="16"/>
                <w:szCs w:val="16"/>
              </w:rPr>
              <w:t>Differentiation Strategies</w:t>
            </w:r>
          </w:p>
        </w:tc>
      </w:tr>
      <w:tr w:rsidR="00A43D42" w:rsidRPr="00380D41" w14:paraId="2DF44121" w14:textId="77777777" w:rsidTr="00223B55">
        <w:trPr>
          <w:trHeight w:val="1924"/>
        </w:trPr>
        <w:tc>
          <w:tcPr>
            <w:tcW w:w="7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757CEE" w14:textId="77777777" w:rsidR="00A43D42" w:rsidRPr="00380D41" w:rsidRDefault="613E2E10" w:rsidP="00223B55">
            <w:pPr>
              <w:spacing w:after="0" w:line="100" w:lineRule="atLeast"/>
              <w:jc w:val="center"/>
              <w:rPr>
                <w:rFonts w:ascii="Aptos" w:hAnsi="Aptos" w:cs="Arial"/>
                <w:b/>
                <w:sz w:val="16"/>
                <w:szCs w:val="16"/>
                <w:u w:val="single"/>
              </w:rPr>
            </w:pPr>
            <w:r w:rsidRPr="00380D41">
              <w:rPr>
                <w:rFonts w:ascii="Aptos" w:eastAsia="Arial" w:hAnsi="Aptos" w:cs="Arial"/>
                <w:b/>
                <w:bCs/>
                <w:sz w:val="16"/>
                <w:szCs w:val="16"/>
                <w:u w:val="single"/>
              </w:rPr>
              <w:t>Addressing English Language Learners</w:t>
            </w:r>
          </w:p>
          <w:p w14:paraId="40466B23" w14:textId="77777777" w:rsidR="00A43D42" w:rsidRPr="00380D41" w:rsidRDefault="613E2E10" w:rsidP="00223B55">
            <w:pPr>
              <w:spacing w:after="0" w:line="100" w:lineRule="atLeast"/>
              <w:rPr>
                <w:rFonts w:ascii="Aptos" w:hAnsi="Aptos" w:cs="Arial"/>
                <w:sz w:val="16"/>
                <w:szCs w:val="16"/>
                <w:u w:val="single"/>
              </w:rPr>
            </w:pPr>
            <w:r w:rsidRPr="00380D41">
              <w:rPr>
                <w:rFonts w:ascii="Aptos" w:eastAsia="Arial" w:hAnsi="Aptos" w:cs="Arial"/>
                <w:b/>
                <w:bCs/>
                <w:sz w:val="16"/>
                <w:szCs w:val="16"/>
              </w:rPr>
              <w:t>In addition to the Lesson Objective, you must include the Language Objective for ELL students.  Language Domains &amp; Language Development Level:</w:t>
            </w:r>
            <w:r w:rsidRPr="00380D41">
              <w:rPr>
                <w:rFonts w:ascii="Aptos" w:eastAsia="Arial" w:hAnsi="Aptos" w:cs="Arial"/>
                <w:sz w:val="16"/>
                <w:szCs w:val="16"/>
              </w:rPr>
              <w:t xml:space="preserve"> (Refer to CAN DO Descriptors, appendix A, to identify language levels and methods of specific language differentiation according to grade cluster)</w:t>
            </w:r>
            <w:r w:rsidRPr="00380D41">
              <w:rPr>
                <w:rFonts w:ascii="Aptos" w:eastAsia="Arial" w:hAnsi="Aptos" w:cs="Arial"/>
                <w:sz w:val="16"/>
                <w:szCs w:val="16"/>
                <w:u w:val="single"/>
              </w:rPr>
              <w:t xml:space="preserve"> </w:t>
            </w:r>
          </w:p>
          <w:p w14:paraId="6888EBCA" w14:textId="77777777" w:rsidR="00A43D42" w:rsidRPr="00380D41" w:rsidRDefault="613E2E10" w:rsidP="00223B55">
            <w:pPr>
              <w:spacing w:after="0" w:line="100" w:lineRule="atLeast"/>
              <w:rPr>
                <w:rFonts w:ascii="Aptos" w:hAnsi="Aptos" w:cs="Arial"/>
                <w:sz w:val="16"/>
                <w:szCs w:val="16"/>
              </w:rPr>
            </w:pPr>
            <w:r w:rsidRPr="00380D41">
              <w:rPr>
                <w:rFonts w:ascii="Aptos" w:eastAsia="Arial" w:hAnsi="Aptos" w:cs="Arial"/>
                <w:sz w:val="16"/>
                <w:szCs w:val="16"/>
              </w:rPr>
              <w:t>Reading- Match icons &amp; symbols to words, phrased or environmental print… Identify concepts about print &amp; text features.</w:t>
            </w:r>
          </w:p>
          <w:p w14:paraId="67CA888F" w14:textId="77777777" w:rsidR="00A43D42" w:rsidRPr="00380D41" w:rsidRDefault="613E2E10" w:rsidP="00223B55">
            <w:pPr>
              <w:spacing w:after="0" w:line="100" w:lineRule="atLeast"/>
              <w:rPr>
                <w:rFonts w:ascii="Aptos" w:hAnsi="Aptos" w:cs="Arial"/>
                <w:sz w:val="16"/>
                <w:szCs w:val="16"/>
              </w:rPr>
            </w:pPr>
            <w:r w:rsidRPr="00380D41">
              <w:rPr>
                <w:rFonts w:ascii="Aptos" w:eastAsia="Arial" w:hAnsi="Aptos" w:cs="Arial"/>
                <w:sz w:val="16"/>
                <w:szCs w:val="16"/>
              </w:rPr>
              <w:t>Writing- Draw in response to oral directions… Label objects, pictures, diagrams… Produce icons, symbols, words, to convey messages.</w:t>
            </w:r>
          </w:p>
          <w:p w14:paraId="5FE5D088" w14:textId="77777777" w:rsidR="00A43D42" w:rsidRPr="00380D41" w:rsidRDefault="613E2E10" w:rsidP="00223B55">
            <w:pPr>
              <w:spacing w:after="0" w:line="100" w:lineRule="atLeast"/>
              <w:rPr>
                <w:rFonts w:ascii="Aptos" w:hAnsi="Aptos" w:cs="Arial"/>
                <w:sz w:val="16"/>
                <w:szCs w:val="16"/>
              </w:rPr>
            </w:pPr>
            <w:r w:rsidRPr="00380D41">
              <w:rPr>
                <w:rFonts w:ascii="Aptos" w:eastAsia="Arial" w:hAnsi="Aptos" w:cs="Arial"/>
                <w:sz w:val="16"/>
                <w:szCs w:val="16"/>
              </w:rPr>
              <w:t>Listening- Point to stated pictures, words, phrased… Follow 1-step oral directions… Match oral statements to objects, figures or pictures.</w:t>
            </w:r>
          </w:p>
          <w:p w14:paraId="0E7DD18B" w14:textId="77777777" w:rsidR="00A43D42" w:rsidRPr="00380D41" w:rsidRDefault="613E2E10" w:rsidP="00223B55">
            <w:pPr>
              <w:spacing w:after="0" w:line="100" w:lineRule="atLeast"/>
              <w:rPr>
                <w:rFonts w:ascii="Aptos" w:hAnsi="Aptos" w:cs="Arial"/>
                <w:sz w:val="16"/>
                <w:szCs w:val="16"/>
              </w:rPr>
            </w:pPr>
            <w:r w:rsidRPr="00380D41">
              <w:rPr>
                <w:rFonts w:ascii="Aptos" w:eastAsia="Arial" w:hAnsi="Aptos" w:cs="Arial"/>
                <w:sz w:val="16"/>
                <w:szCs w:val="16"/>
              </w:rPr>
              <w:t>Speaking- Name objects, people, pictures… Answer what or choice questions.</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DC76B3" w14:textId="77777777" w:rsidR="00A43D42" w:rsidRPr="00380D41" w:rsidRDefault="613E2E10" w:rsidP="00223B55">
            <w:pPr>
              <w:spacing w:after="0" w:line="100" w:lineRule="atLeast"/>
              <w:jc w:val="center"/>
              <w:rPr>
                <w:rFonts w:ascii="Aptos" w:hAnsi="Aptos" w:cs="Arial"/>
                <w:b/>
                <w:sz w:val="16"/>
                <w:szCs w:val="16"/>
                <w:u w:val="single"/>
              </w:rPr>
            </w:pPr>
            <w:r w:rsidRPr="00380D41">
              <w:rPr>
                <w:rFonts w:ascii="Aptos" w:eastAsia="Arial" w:hAnsi="Aptos" w:cs="Arial"/>
                <w:b/>
                <w:bCs/>
                <w:sz w:val="16"/>
                <w:szCs w:val="16"/>
                <w:u w:val="single"/>
              </w:rPr>
              <w:t>Addressing Special Education Students</w:t>
            </w:r>
          </w:p>
          <w:p w14:paraId="23C26328" w14:textId="77777777" w:rsidR="00A43D42" w:rsidRPr="00380D41" w:rsidRDefault="613E2E10" w:rsidP="00223B55">
            <w:pPr>
              <w:spacing w:line="100" w:lineRule="atLeast"/>
              <w:rPr>
                <w:rFonts w:ascii="Aptos" w:hAnsi="Aptos" w:cs="Arial"/>
                <w:sz w:val="16"/>
                <w:szCs w:val="16"/>
              </w:rPr>
            </w:pPr>
            <w:r w:rsidRPr="00380D41">
              <w:rPr>
                <w:rFonts w:ascii="Aptos" w:eastAsia="Arial" w:hAnsi="Aptos" w:cs="Arial"/>
                <w:b/>
                <w:bCs/>
                <w:sz w:val="16"/>
                <w:szCs w:val="16"/>
              </w:rPr>
              <w:t xml:space="preserve">IEP Accommodations and Modifications: </w:t>
            </w:r>
            <w:r w:rsidRPr="00380D41">
              <w:rPr>
                <w:rFonts w:ascii="Aptos" w:eastAsia="Arial" w:hAnsi="Aptos" w:cs="Arial"/>
                <w:sz w:val="16"/>
                <w:szCs w:val="16"/>
              </w:rPr>
              <w:t>(Refer to individual IEP and for further strategies of differentiation, see Appendix B)</w:t>
            </w:r>
          </w:p>
          <w:p w14:paraId="7362BCDC" w14:textId="77777777" w:rsidR="00A43D42" w:rsidRPr="00380D41" w:rsidRDefault="00A43D42" w:rsidP="00223B55">
            <w:pPr>
              <w:pStyle w:val="ColorfulList-Accent11"/>
              <w:spacing w:line="100" w:lineRule="atLeast"/>
              <w:rPr>
                <w:rFonts w:ascii="Aptos" w:hAnsi="Aptos" w:cs="Arial"/>
                <w:b/>
                <w:sz w:val="16"/>
                <w:szCs w:val="16"/>
                <w:u w:val="single"/>
              </w:rPr>
            </w:pPr>
          </w:p>
        </w:tc>
      </w:tr>
      <w:tr w:rsidR="00A43D42" w:rsidRPr="00380D41" w14:paraId="6EEFC99C" w14:textId="77777777" w:rsidTr="00223B55">
        <w:trPr>
          <w:trHeight w:val="131"/>
        </w:trPr>
        <w:tc>
          <w:tcPr>
            <w:tcW w:w="7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73568C" w14:textId="77777777" w:rsidR="00A43D42" w:rsidRPr="00380D41" w:rsidRDefault="613E2E10" w:rsidP="00223B55">
            <w:pPr>
              <w:spacing w:after="0" w:line="100" w:lineRule="atLeast"/>
              <w:jc w:val="center"/>
              <w:rPr>
                <w:rFonts w:ascii="Aptos" w:hAnsi="Aptos" w:cs="Arial"/>
                <w:b/>
                <w:sz w:val="16"/>
                <w:szCs w:val="16"/>
                <w:u w:val="single"/>
              </w:rPr>
            </w:pPr>
            <w:r w:rsidRPr="00380D41">
              <w:rPr>
                <w:rFonts w:ascii="Aptos" w:eastAsia="Arial" w:hAnsi="Aptos" w:cs="Arial"/>
                <w:b/>
                <w:bCs/>
                <w:sz w:val="16"/>
                <w:szCs w:val="16"/>
                <w:u w:val="single"/>
              </w:rPr>
              <w:t>Addressing 504 Students</w:t>
            </w:r>
          </w:p>
          <w:p w14:paraId="79CBFE3D" w14:textId="77777777" w:rsidR="00A43D42" w:rsidRPr="00380D41" w:rsidRDefault="613E2E10" w:rsidP="00223B55">
            <w:pPr>
              <w:spacing w:after="0" w:line="100" w:lineRule="atLeast"/>
              <w:rPr>
                <w:rFonts w:ascii="Aptos" w:hAnsi="Aptos" w:cs="Arial"/>
                <w:sz w:val="16"/>
                <w:szCs w:val="16"/>
              </w:rPr>
            </w:pPr>
            <w:r w:rsidRPr="00380D41">
              <w:rPr>
                <w:rFonts w:ascii="Aptos" w:eastAsia="Arial" w:hAnsi="Aptos" w:cs="Arial"/>
                <w:sz w:val="16"/>
                <w:szCs w:val="16"/>
              </w:rPr>
              <w:t>(Refer to school’s 504 Committee)</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E57202" w14:textId="77777777" w:rsidR="00A43D42" w:rsidRPr="00380D41" w:rsidRDefault="613E2E10" w:rsidP="00223B55">
            <w:pPr>
              <w:spacing w:after="0" w:line="100" w:lineRule="atLeast"/>
              <w:jc w:val="center"/>
              <w:rPr>
                <w:rFonts w:ascii="Aptos" w:hAnsi="Aptos" w:cs="Arial"/>
                <w:b/>
                <w:sz w:val="16"/>
                <w:szCs w:val="16"/>
                <w:u w:val="single"/>
              </w:rPr>
            </w:pPr>
            <w:r w:rsidRPr="00380D41">
              <w:rPr>
                <w:rFonts w:ascii="Aptos" w:eastAsia="Arial" w:hAnsi="Aptos" w:cs="Arial"/>
                <w:b/>
                <w:bCs/>
                <w:sz w:val="16"/>
                <w:szCs w:val="16"/>
                <w:u w:val="single"/>
              </w:rPr>
              <w:t>Addressing Gifted and Talented Students</w:t>
            </w:r>
          </w:p>
          <w:p w14:paraId="7A537656" w14:textId="77777777" w:rsidR="00A43D42" w:rsidRPr="00380D41" w:rsidRDefault="613E2E10" w:rsidP="00223B55">
            <w:pPr>
              <w:spacing w:after="0" w:line="100" w:lineRule="atLeast"/>
              <w:rPr>
                <w:rFonts w:ascii="Aptos" w:hAnsi="Aptos" w:cs="Arial"/>
                <w:sz w:val="16"/>
                <w:szCs w:val="16"/>
              </w:rPr>
            </w:pPr>
            <w:r w:rsidRPr="00380D41">
              <w:rPr>
                <w:rFonts w:ascii="Aptos" w:eastAsia="Arial" w:hAnsi="Aptos" w:cs="Arial"/>
                <w:sz w:val="16"/>
                <w:szCs w:val="16"/>
              </w:rPr>
              <w:t>Allow students to create their own tasks and questions</w:t>
            </w:r>
          </w:p>
        </w:tc>
      </w:tr>
    </w:tbl>
    <w:p w14:paraId="001655FE" w14:textId="77777777" w:rsidR="004644EC" w:rsidRPr="00380D41" w:rsidRDefault="004644EC" w:rsidP="007B33AE">
      <w:pPr>
        <w:rPr>
          <w:rFonts w:ascii="Aptos" w:hAnsi="Aptos"/>
          <w:sz w:val="18"/>
          <w:szCs w:val="18"/>
        </w:rPr>
      </w:pPr>
    </w:p>
    <w:sectPr w:rsidR="004644EC" w:rsidRPr="00380D41" w:rsidSect="009C7D74">
      <w:foot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7918C" w14:textId="77777777" w:rsidR="00853506" w:rsidRDefault="00853506" w:rsidP="009C7D74">
      <w:pPr>
        <w:spacing w:after="0" w:line="240" w:lineRule="auto"/>
      </w:pPr>
      <w:r>
        <w:separator/>
      </w:r>
    </w:p>
  </w:endnote>
  <w:endnote w:type="continuationSeparator" w:id="0">
    <w:p w14:paraId="373534EA" w14:textId="77777777" w:rsidR="00853506" w:rsidRDefault="00853506" w:rsidP="009C7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6102986"/>
      <w:docPartObj>
        <w:docPartGallery w:val="Page Numbers (Bottom of Page)"/>
        <w:docPartUnique/>
      </w:docPartObj>
    </w:sdtPr>
    <w:sdtEndPr>
      <w:rPr>
        <w:noProof/>
      </w:rPr>
    </w:sdtEndPr>
    <w:sdtContent>
      <w:p w14:paraId="51FFDD79" w14:textId="4C9DFF49" w:rsidR="00F257ED" w:rsidRDefault="00E67A4D">
        <w:pPr>
          <w:pStyle w:val="Footer"/>
          <w:jc w:val="right"/>
        </w:pPr>
        <w:r>
          <w:fldChar w:fldCharType="begin"/>
        </w:r>
        <w:r>
          <w:instrText xml:space="preserve"> PAGE   \* MERGEFORMAT </w:instrText>
        </w:r>
        <w:r>
          <w:fldChar w:fldCharType="separate"/>
        </w:r>
        <w:r w:rsidR="00EC142F">
          <w:rPr>
            <w:noProof/>
          </w:rPr>
          <w:t>2</w:t>
        </w:r>
        <w:r>
          <w:rPr>
            <w:noProof/>
          </w:rPr>
          <w:fldChar w:fldCharType="end"/>
        </w:r>
      </w:p>
    </w:sdtContent>
  </w:sdt>
  <w:p w14:paraId="5FE05847" w14:textId="77777777" w:rsidR="00F257ED" w:rsidRDefault="00F25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3091D" w14:textId="77777777" w:rsidR="00853506" w:rsidRDefault="00853506" w:rsidP="009C7D74">
      <w:pPr>
        <w:spacing w:after="0" w:line="240" w:lineRule="auto"/>
      </w:pPr>
      <w:r>
        <w:separator/>
      </w:r>
    </w:p>
  </w:footnote>
  <w:footnote w:type="continuationSeparator" w:id="0">
    <w:p w14:paraId="4AEB98FD" w14:textId="77777777" w:rsidR="00853506" w:rsidRDefault="00853506" w:rsidP="009C7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B590D"/>
    <w:multiLevelType w:val="hybridMultilevel"/>
    <w:tmpl w:val="3212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94DE6"/>
    <w:multiLevelType w:val="hybridMultilevel"/>
    <w:tmpl w:val="4CDC0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041D8"/>
    <w:multiLevelType w:val="hybridMultilevel"/>
    <w:tmpl w:val="5C8C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12E2F"/>
    <w:multiLevelType w:val="hybridMultilevel"/>
    <w:tmpl w:val="F90C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362C2"/>
    <w:multiLevelType w:val="hybridMultilevel"/>
    <w:tmpl w:val="16B0CC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461317">
    <w:abstractNumId w:val="2"/>
  </w:num>
  <w:num w:numId="2" w16cid:durableId="1313758284">
    <w:abstractNumId w:val="3"/>
  </w:num>
  <w:num w:numId="3" w16cid:durableId="2107455990">
    <w:abstractNumId w:val="1"/>
  </w:num>
  <w:num w:numId="4" w16cid:durableId="649099946">
    <w:abstractNumId w:val="4"/>
  </w:num>
  <w:num w:numId="5" w16cid:durableId="1061487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D74"/>
    <w:rsid w:val="00016085"/>
    <w:rsid w:val="00031773"/>
    <w:rsid w:val="00033B62"/>
    <w:rsid w:val="00036A44"/>
    <w:rsid w:val="00050D5F"/>
    <w:rsid w:val="00053135"/>
    <w:rsid w:val="00070297"/>
    <w:rsid w:val="00073030"/>
    <w:rsid w:val="00077208"/>
    <w:rsid w:val="0008205B"/>
    <w:rsid w:val="000B1E27"/>
    <w:rsid w:val="000B6A6C"/>
    <w:rsid w:val="000D74F2"/>
    <w:rsid w:val="00105E00"/>
    <w:rsid w:val="00110191"/>
    <w:rsid w:val="00121495"/>
    <w:rsid w:val="00122FBD"/>
    <w:rsid w:val="001248DF"/>
    <w:rsid w:val="00127291"/>
    <w:rsid w:val="001319A5"/>
    <w:rsid w:val="001440A3"/>
    <w:rsid w:val="0017532E"/>
    <w:rsid w:val="00182762"/>
    <w:rsid w:val="0019273A"/>
    <w:rsid w:val="001B2584"/>
    <w:rsid w:val="001C1941"/>
    <w:rsid w:val="001D7C26"/>
    <w:rsid w:val="001E60AD"/>
    <w:rsid w:val="001F07C1"/>
    <w:rsid w:val="001F25F5"/>
    <w:rsid w:val="001F6A66"/>
    <w:rsid w:val="00223B55"/>
    <w:rsid w:val="00241E42"/>
    <w:rsid w:val="00241FFB"/>
    <w:rsid w:val="00252715"/>
    <w:rsid w:val="0025558E"/>
    <w:rsid w:val="002626BE"/>
    <w:rsid w:val="00282D57"/>
    <w:rsid w:val="00283FA7"/>
    <w:rsid w:val="00292116"/>
    <w:rsid w:val="002B1A61"/>
    <w:rsid w:val="002B4C73"/>
    <w:rsid w:val="002C3C7E"/>
    <w:rsid w:val="002C6FB1"/>
    <w:rsid w:val="002D4334"/>
    <w:rsid w:val="002E6313"/>
    <w:rsid w:val="002F024E"/>
    <w:rsid w:val="00306906"/>
    <w:rsid w:val="00307443"/>
    <w:rsid w:val="0031784B"/>
    <w:rsid w:val="00324D9A"/>
    <w:rsid w:val="0034087D"/>
    <w:rsid w:val="0034261C"/>
    <w:rsid w:val="00343E3D"/>
    <w:rsid w:val="00345DD2"/>
    <w:rsid w:val="0034668F"/>
    <w:rsid w:val="003636C7"/>
    <w:rsid w:val="00380D41"/>
    <w:rsid w:val="003A732E"/>
    <w:rsid w:val="003B581D"/>
    <w:rsid w:val="003C053F"/>
    <w:rsid w:val="003E17D3"/>
    <w:rsid w:val="003E3CDB"/>
    <w:rsid w:val="003E6184"/>
    <w:rsid w:val="00412C39"/>
    <w:rsid w:val="00413EBD"/>
    <w:rsid w:val="00432A32"/>
    <w:rsid w:val="00446DED"/>
    <w:rsid w:val="00457231"/>
    <w:rsid w:val="00457364"/>
    <w:rsid w:val="0046048D"/>
    <w:rsid w:val="004644EC"/>
    <w:rsid w:val="00464C44"/>
    <w:rsid w:val="004709FB"/>
    <w:rsid w:val="00477DFD"/>
    <w:rsid w:val="00485D5F"/>
    <w:rsid w:val="00486241"/>
    <w:rsid w:val="004903E1"/>
    <w:rsid w:val="004B3891"/>
    <w:rsid w:val="004C5F14"/>
    <w:rsid w:val="004F0CEA"/>
    <w:rsid w:val="004F149A"/>
    <w:rsid w:val="004F1B2E"/>
    <w:rsid w:val="004F2F28"/>
    <w:rsid w:val="004F38AB"/>
    <w:rsid w:val="004F4B8B"/>
    <w:rsid w:val="005021AE"/>
    <w:rsid w:val="00515498"/>
    <w:rsid w:val="00523137"/>
    <w:rsid w:val="00525C9B"/>
    <w:rsid w:val="005531F3"/>
    <w:rsid w:val="00561154"/>
    <w:rsid w:val="00567024"/>
    <w:rsid w:val="00567A4A"/>
    <w:rsid w:val="005773AD"/>
    <w:rsid w:val="00585245"/>
    <w:rsid w:val="0059746E"/>
    <w:rsid w:val="005A32FA"/>
    <w:rsid w:val="005A78E6"/>
    <w:rsid w:val="005B10D1"/>
    <w:rsid w:val="005C29F9"/>
    <w:rsid w:val="005C48B4"/>
    <w:rsid w:val="005C60C7"/>
    <w:rsid w:val="00603CB2"/>
    <w:rsid w:val="00607AC2"/>
    <w:rsid w:val="00607C7B"/>
    <w:rsid w:val="00614DA4"/>
    <w:rsid w:val="00623483"/>
    <w:rsid w:val="00641883"/>
    <w:rsid w:val="00645300"/>
    <w:rsid w:val="006560F8"/>
    <w:rsid w:val="006611B7"/>
    <w:rsid w:val="00673ECB"/>
    <w:rsid w:val="00677D20"/>
    <w:rsid w:val="00684F29"/>
    <w:rsid w:val="006A45F5"/>
    <w:rsid w:val="006C0C55"/>
    <w:rsid w:val="006C356A"/>
    <w:rsid w:val="006C56AD"/>
    <w:rsid w:val="006D150C"/>
    <w:rsid w:val="006D2C69"/>
    <w:rsid w:val="006D351E"/>
    <w:rsid w:val="006E4085"/>
    <w:rsid w:val="00700A4C"/>
    <w:rsid w:val="00711AC3"/>
    <w:rsid w:val="00721EAD"/>
    <w:rsid w:val="0074378D"/>
    <w:rsid w:val="007445A7"/>
    <w:rsid w:val="007452A7"/>
    <w:rsid w:val="007528EF"/>
    <w:rsid w:val="00755744"/>
    <w:rsid w:val="00760AC5"/>
    <w:rsid w:val="007708B9"/>
    <w:rsid w:val="0077305D"/>
    <w:rsid w:val="00787843"/>
    <w:rsid w:val="00795EFE"/>
    <w:rsid w:val="007A54F2"/>
    <w:rsid w:val="007B33AE"/>
    <w:rsid w:val="0081534A"/>
    <w:rsid w:val="00834FD8"/>
    <w:rsid w:val="008462BC"/>
    <w:rsid w:val="00853506"/>
    <w:rsid w:val="008554A0"/>
    <w:rsid w:val="008600A7"/>
    <w:rsid w:val="00864E34"/>
    <w:rsid w:val="00876BBE"/>
    <w:rsid w:val="0087707C"/>
    <w:rsid w:val="0088173D"/>
    <w:rsid w:val="00896D14"/>
    <w:rsid w:val="00897CD9"/>
    <w:rsid w:val="008B0698"/>
    <w:rsid w:val="008C027F"/>
    <w:rsid w:val="008C33EB"/>
    <w:rsid w:val="008D23D3"/>
    <w:rsid w:val="008D5814"/>
    <w:rsid w:val="008E5557"/>
    <w:rsid w:val="00903454"/>
    <w:rsid w:val="009051C2"/>
    <w:rsid w:val="009161D2"/>
    <w:rsid w:val="0092662E"/>
    <w:rsid w:val="00946546"/>
    <w:rsid w:val="00950CE8"/>
    <w:rsid w:val="00967285"/>
    <w:rsid w:val="00971DCC"/>
    <w:rsid w:val="0098014D"/>
    <w:rsid w:val="0098062E"/>
    <w:rsid w:val="0098351F"/>
    <w:rsid w:val="00993980"/>
    <w:rsid w:val="00993B05"/>
    <w:rsid w:val="009B2B63"/>
    <w:rsid w:val="009C081F"/>
    <w:rsid w:val="009C7D74"/>
    <w:rsid w:val="009D1E5B"/>
    <w:rsid w:val="009E1B30"/>
    <w:rsid w:val="009F116E"/>
    <w:rsid w:val="009F26BB"/>
    <w:rsid w:val="009F2FAE"/>
    <w:rsid w:val="009F415A"/>
    <w:rsid w:val="00A005D1"/>
    <w:rsid w:val="00A01F82"/>
    <w:rsid w:val="00A1178A"/>
    <w:rsid w:val="00A14E62"/>
    <w:rsid w:val="00A26AC4"/>
    <w:rsid w:val="00A30FC0"/>
    <w:rsid w:val="00A43D42"/>
    <w:rsid w:val="00A7284F"/>
    <w:rsid w:val="00A83665"/>
    <w:rsid w:val="00A86C33"/>
    <w:rsid w:val="00A92DA1"/>
    <w:rsid w:val="00A9727A"/>
    <w:rsid w:val="00AA0364"/>
    <w:rsid w:val="00AA3348"/>
    <w:rsid w:val="00AB2F5A"/>
    <w:rsid w:val="00AF5DEB"/>
    <w:rsid w:val="00AF6899"/>
    <w:rsid w:val="00B00C41"/>
    <w:rsid w:val="00B02D00"/>
    <w:rsid w:val="00B15ADE"/>
    <w:rsid w:val="00B277E6"/>
    <w:rsid w:val="00B30AE3"/>
    <w:rsid w:val="00B352C3"/>
    <w:rsid w:val="00B43564"/>
    <w:rsid w:val="00B52F31"/>
    <w:rsid w:val="00B60887"/>
    <w:rsid w:val="00B64668"/>
    <w:rsid w:val="00B741F9"/>
    <w:rsid w:val="00B74DE7"/>
    <w:rsid w:val="00B803F9"/>
    <w:rsid w:val="00B81A67"/>
    <w:rsid w:val="00B8404C"/>
    <w:rsid w:val="00BC4CF6"/>
    <w:rsid w:val="00BD2048"/>
    <w:rsid w:val="00BE70FA"/>
    <w:rsid w:val="00C00700"/>
    <w:rsid w:val="00C03E30"/>
    <w:rsid w:val="00C426DA"/>
    <w:rsid w:val="00C51C2C"/>
    <w:rsid w:val="00C62F29"/>
    <w:rsid w:val="00C96EB0"/>
    <w:rsid w:val="00CA2F43"/>
    <w:rsid w:val="00CA3CE3"/>
    <w:rsid w:val="00CB2E5E"/>
    <w:rsid w:val="00CE12DC"/>
    <w:rsid w:val="00CE3651"/>
    <w:rsid w:val="00CF2812"/>
    <w:rsid w:val="00D02E1B"/>
    <w:rsid w:val="00D11CB2"/>
    <w:rsid w:val="00D14CC0"/>
    <w:rsid w:val="00D334F2"/>
    <w:rsid w:val="00D5266C"/>
    <w:rsid w:val="00D7508C"/>
    <w:rsid w:val="00D81BF6"/>
    <w:rsid w:val="00D87465"/>
    <w:rsid w:val="00D906FA"/>
    <w:rsid w:val="00DA2F52"/>
    <w:rsid w:val="00DB79B6"/>
    <w:rsid w:val="00DC1335"/>
    <w:rsid w:val="00DF68C2"/>
    <w:rsid w:val="00E00593"/>
    <w:rsid w:val="00E128D7"/>
    <w:rsid w:val="00E30C51"/>
    <w:rsid w:val="00E32BA4"/>
    <w:rsid w:val="00E3364F"/>
    <w:rsid w:val="00E500F4"/>
    <w:rsid w:val="00E6267C"/>
    <w:rsid w:val="00E67A4D"/>
    <w:rsid w:val="00E7134D"/>
    <w:rsid w:val="00EA01D2"/>
    <w:rsid w:val="00EB5E80"/>
    <w:rsid w:val="00EC142F"/>
    <w:rsid w:val="00ED1EBC"/>
    <w:rsid w:val="00ED6210"/>
    <w:rsid w:val="00EE63FA"/>
    <w:rsid w:val="00EF03DE"/>
    <w:rsid w:val="00EF2916"/>
    <w:rsid w:val="00EF419D"/>
    <w:rsid w:val="00EF5655"/>
    <w:rsid w:val="00F05FC7"/>
    <w:rsid w:val="00F1363D"/>
    <w:rsid w:val="00F22C63"/>
    <w:rsid w:val="00F23E0A"/>
    <w:rsid w:val="00F257ED"/>
    <w:rsid w:val="00F266C6"/>
    <w:rsid w:val="00F612AE"/>
    <w:rsid w:val="00F86212"/>
    <w:rsid w:val="00F905E8"/>
    <w:rsid w:val="00FB6CC9"/>
    <w:rsid w:val="00FB70FD"/>
    <w:rsid w:val="00FE2390"/>
    <w:rsid w:val="613E2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F5492E"/>
  <w15:docId w15:val="{86282ADC-9B71-4B13-ACE4-8045B991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7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7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D74"/>
  </w:style>
  <w:style w:type="paragraph" w:styleId="Footer">
    <w:name w:val="footer"/>
    <w:basedOn w:val="Normal"/>
    <w:link w:val="FooterChar"/>
    <w:uiPriority w:val="99"/>
    <w:unhideWhenUsed/>
    <w:rsid w:val="009C7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D74"/>
  </w:style>
  <w:style w:type="paragraph" w:styleId="ListParagraph">
    <w:name w:val="List Paragraph"/>
    <w:basedOn w:val="Normal"/>
    <w:uiPriority w:val="34"/>
    <w:qFormat/>
    <w:rsid w:val="00CF2812"/>
    <w:pPr>
      <w:ind w:left="720"/>
      <w:contextualSpacing/>
    </w:pPr>
  </w:style>
  <w:style w:type="paragraph" w:styleId="BalloonText">
    <w:name w:val="Balloon Text"/>
    <w:basedOn w:val="Normal"/>
    <w:link w:val="BalloonTextChar"/>
    <w:uiPriority w:val="99"/>
    <w:semiHidden/>
    <w:unhideWhenUsed/>
    <w:rsid w:val="00DA2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F52"/>
    <w:rPr>
      <w:rFonts w:ascii="Tahoma" w:hAnsi="Tahoma" w:cs="Tahoma"/>
      <w:sz w:val="16"/>
      <w:szCs w:val="16"/>
    </w:rPr>
  </w:style>
  <w:style w:type="character" w:styleId="Hyperlink">
    <w:name w:val="Hyperlink"/>
    <w:basedOn w:val="DefaultParagraphFont"/>
    <w:uiPriority w:val="99"/>
    <w:unhideWhenUsed/>
    <w:rsid w:val="00BE70FA"/>
    <w:rPr>
      <w:color w:val="0000FF" w:themeColor="hyperlink"/>
      <w:u w:val="single"/>
    </w:rPr>
  </w:style>
  <w:style w:type="paragraph" w:customStyle="1" w:styleId="ColorfulList-Accent11">
    <w:name w:val="Colorful List - Accent 11"/>
    <w:basedOn w:val="Normal"/>
    <w:qFormat/>
    <w:rsid w:val="00A43D42"/>
    <w:pPr>
      <w:suppressAutoHyphens/>
      <w:spacing w:after="0" w:line="240" w:lineRule="auto"/>
      <w:ind w:left="720"/>
    </w:pPr>
    <w:rPr>
      <w:rFonts w:ascii="Times New Roman" w:eastAsia="Lucida Sans Unicode" w:hAnsi="Times New Roman" w:cs="Mangal"/>
      <w:kern w:val="1"/>
      <w:sz w:val="24"/>
      <w:szCs w:val="24"/>
      <w:lang w:eastAsia="hi-IN" w:bidi="hi-IN"/>
    </w:rPr>
  </w:style>
  <w:style w:type="character" w:styleId="Strong">
    <w:name w:val="Strong"/>
    <w:basedOn w:val="DefaultParagraphFont"/>
    <w:uiPriority w:val="22"/>
    <w:qFormat/>
    <w:rsid w:val="009F116E"/>
    <w:rPr>
      <w:b/>
      <w:bCs/>
    </w:rPr>
  </w:style>
  <w:style w:type="character" w:styleId="Emphasis">
    <w:name w:val="Emphasis"/>
    <w:basedOn w:val="DefaultParagraphFont"/>
    <w:uiPriority w:val="20"/>
    <w:qFormat/>
    <w:rsid w:val="009F11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39320">
      <w:bodyDiv w:val="1"/>
      <w:marLeft w:val="0"/>
      <w:marRight w:val="0"/>
      <w:marTop w:val="0"/>
      <w:marBottom w:val="0"/>
      <w:divBdr>
        <w:top w:val="none" w:sz="0" w:space="0" w:color="auto"/>
        <w:left w:val="none" w:sz="0" w:space="0" w:color="auto"/>
        <w:bottom w:val="none" w:sz="0" w:space="0" w:color="auto"/>
        <w:right w:val="none" w:sz="0" w:space="0" w:color="auto"/>
      </w:divBdr>
    </w:div>
    <w:div w:id="282881934">
      <w:bodyDiv w:val="1"/>
      <w:marLeft w:val="0"/>
      <w:marRight w:val="0"/>
      <w:marTop w:val="0"/>
      <w:marBottom w:val="0"/>
      <w:divBdr>
        <w:top w:val="none" w:sz="0" w:space="0" w:color="auto"/>
        <w:left w:val="none" w:sz="0" w:space="0" w:color="auto"/>
        <w:bottom w:val="none" w:sz="0" w:space="0" w:color="auto"/>
        <w:right w:val="none" w:sz="0" w:space="0" w:color="auto"/>
      </w:divBdr>
    </w:div>
    <w:div w:id="655036152">
      <w:bodyDiv w:val="1"/>
      <w:marLeft w:val="0"/>
      <w:marRight w:val="0"/>
      <w:marTop w:val="0"/>
      <w:marBottom w:val="0"/>
      <w:divBdr>
        <w:top w:val="none" w:sz="0" w:space="0" w:color="auto"/>
        <w:left w:val="none" w:sz="0" w:space="0" w:color="auto"/>
        <w:bottom w:val="none" w:sz="0" w:space="0" w:color="auto"/>
        <w:right w:val="none" w:sz="0" w:space="0" w:color="auto"/>
      </w:divBdr>
    </w:div>
    <w:div w:id="818303408">
      <w:bodyDiv w:val="1"/>
      <w:marLeft w:val="0"/>
      <w:marRight w:val="0"/>
      <w:marTop w:val="0"/>
      <w:marBottom w:val="0"/>
      <w:divBdr>
        <w:top w:val="none" w:sz="0" w:space="0" w:color="auto"/>
        <w:left w:val="none" w:sz="0" w:space="0" w:color="auto"/>
        <w:bottom w:val="none" w:sz="0" w:space="0" w:color="auto"/>
        <w:right w:val="none" w:sz="0" w:space="0" w:color="auto"/>
      </w:divBdr>
    </w:div>
    <w:div w:id="987170880">
      <w:bodyDiv w:val="1"/>
      <w:marLeft w:val="0"/>
      <w:marRight w:val="0"/>
      <w:marTop w:val="0"/>
      <w:marBottom w:val="0"/>
      <w:divBdr>
        <w:top w:val="none" w:sz="0" w:space="0" w:color="auto"/>
        <w:left w:val="none" w:sz="0" w:space="0" w:color="auto"/>
        <w:bottom w:val="none" w:sz="0" w:space="0" w:color="auto"/>
        <w:right w:val="none" w:sz="0" w:space="0" w:color="auto"/>
      </w:divBdr>
    </w:div>
    <w:div w:id="1059092449">
      <w:bodyDiv w:val="1"/>
      <w:marLeft w:val="0"/>
      <w:marRight w:val="0"/>
      <w:marTop w:val="0"/>
      <w:marBottom w:val="0"/>
      <w:divBdr>
        <w:top w:val="none" w:sz="0" w:space="0" w:color="auto"/>
        <w:left w:val="none" w:sz="0" w:space="0" w:color="auto"/>
        <w:bottom w:val="none" w:sz="0" w:space="0" w:color="auto"/>
        <w:right w:val="none" w:sz="0" w:space="0" w:color="auto"/>
      </w:divBdr>
    </w:div>
    <w:div w:id="1561941266">
      <w:bodyDiv w:val="1"/>
      <w:marLeft w:val="0"/>
      <w:marRight w:val="0"/>
      <w:marTop w:val="0"/>
      <w:marBottom w:val="0"/>
      <w:divBdr>
        <w:top w:val="none" w:sz="0" w:space="0" w:color="auto"/>
        <w:left w:val="none" w:sz="0" w:space="0" w:color="auto"/>
        <w:bottom w:val="none" w:sz="0" w:space="0" w:color="auto"/>
        <w:right w:val="none" w:sz="0" w:space="0" w:color="auto"/>
      </w:divBdr>
    </w:div>
    <w:div w:id="1686706031">
      <w:bodyDiv w:val="1"/>
      <w:marLeft w:val="0"/>
      <w:marRight w:val="0"/>
      <w:marTop w:val="0"/>
      <w:marBottom w:val="0"/>
      <w:divBdr>
        <w:top w:val="none" w:sz="0" w:space="0" w:color="auto"/>
        <w:left w:val="none" w:sz="0" w:space="0" w:color="auto"/>
        <w:bottom w:val="none" w:sz="0" w:space="0" w:color="auto"/>
        <w:right w:val="none" w:sz="0" w:space="0" w:color="auto"/>
      </w:divBdr>
    </w:div>
    <w:div w:id="1719864441">
      <w:bodyDiv w:val="1"/>
      <w:marLeft w:val="0"/>
      <w:marRight w:val="0"/>
      <w:marTop w:val="0"/>
      <w:marBottom w:val="0"/>
      <w:divBdr>
        <w:top w:val="none" w:sz="0" w:space="0" w:color="auto"/>
        <w:left w:val="none" w:sz="0" w:space="0" w:color="auto"/>
        <w:bottom w:val="none" w:sz="0" w:space="0" w:color="auto"/>
        <w:right w:val="none" w:sz="0" w:space="0" w:color="auto"/>
      </w:divBdr>
      <w:divsChild>
        <w:div w:id="828642740">
          <w:marLeft w:val="547"/>
          <w:marRight w:val="0"/>
          <w:marTop w:val="173"/>
          <w:marBottom w:val="0"/>
          <w:divBdr>
            <w:top w:val="none" w:sz="0" w:space="0" w:color="auto"/>
            <w:left w:val="none" w:sz="0" w:space="0" w:color="auto"/>
            <w:bottom w:val="none" w:sz="0" w:space="0" w:color="auto"/>
            <w:right w:val="none" w:sz="0" w:space="0" w:color="auto"/>
          </w:divBdr>
        </w:div>
        <w:div w:id="1180268514">
          <w:marLeft w:val="547"/>
          <w:marRight w:val="0"/>
          <w:marTop w:val="173"/>
          <w:marBottom w:val="0"/>
          <w:divBdr>
            <w:top w:val="none" w:sz="0" w:space="0" w:color="auto"/>
            <w:left w:val="none" w:sz="0" w:space="0" w:color="auto"/>
            <w:bottom w:val="none" w:sz="0" w:space="0" w:color="auto"/>
            <w:right w:val="none" w:sz="0" w:space="0" w:color="auto"/>
          </w:divBdr>
        </w:div>
        <w:div w:id="704914947">
          <w:marLeft w:val="547"/>
          <w:marRight w:val="0"/>
          <w:marTop w:val="173"/>
          <w:marBottom w:val="0"/>
          <w:divBdr>
            <w:top w:val="none" w:sz="0" w:space="0" w:color="auto"/>
            <w:left w:val="none" w:sz="0" w:space="0" w:color="auto"/>
            <w:bottom w:val="none" w:sz="0" w:space="0" w:color="auto"/>
            <w:right w:val="none" w:sz="0" w:space="0" w:color="auto"/>
          </w:divBdr>
        </w:div>
      </w:divsChild>
    </w:div>
    <w:div w:id="1837377441">
      <w:bodyDiv w:val="1"/>
      <w:marLeft w:val="0"/>
      <w:marRight w:val="0"/>
      <w:marTop w:val="0"/>
      <w:marBottom w:val="0"/>
      <w:divBdr>
        <w:top w:val="none" w:sz="0" w:space="0" w:color="auto"/>
        <w:left w:val="none" w:sz="0" w:space="0" w:color="auto"/>
        <w:bottom w:val="none" w:sz="0" w:space="0" w:color="auto"/>
        <w:right w:val="none" w:sz="0" w:space="0" w:color="auto"/>
      </w:divBdr>
    </w:div>
    <w:div w:id="2034532264">
      <w:bodyDiv w:val="1"/>
      <w:marLeft w:val="0"/>
      <w:marRight w:val="0"/>
      <w:marTop w:val="0"/>
      <w:marBottom w:val="0"/>
      <w:divBdr>
        <w:top w:val="none" w:sz="0" w:space="0" w:color="auto"/>
        <w:left w:val="none" w:sz="0" w:space="0" w:color="auto"/>
        <w:bottom w:val="none" w:sz="0" w:space="0" w:color="auto"/>
        <w:right w:val="none" w:sz="0" w:space="0" w:color="auto"/>
      </w:divBdr>
    </w:div>
    <w:div w:id="2050687426">
      <w:bodyDiv w:val="1"/>
      <w:marLeft w:val="0"/>
      <w:marRight w:val="0"/>
      <w:marTop w:val="0"/>
      <w:marBottom w:val="0"/>
      <w:divBdr>
        <w:top w:val="none" w:sz="0" w:space="0" w:color="auto"/>
        <w:left w:val="none" w:sz="0" w:space="0" w:color="auto"/>
        <w:bottom w:val="none" w:sz="0" w:space="0" w:color="auto"/>
        <w:right w:val="none" w:sz="0" w:space="0" w:color="auto"/>
      </w:divBdr>
    </w:div>
    <w:div w:id="211454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84F2E162-2378-4C63-A457-BF8187BA4405}">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0</TotalTime>
  <Pages>4</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Burke, Michael</dc:creator>
  <cp:lastModifiedBy>Frank Cottone</cp:lastModifiedBy>
  <cp:revision>4</cp:revision>
  <cp:lastPrinted>2016-09-26T18:26:00Z</cp:lastPrinted>
  <dcterms:created xsi:type="dcterms:W3CDTF">2025-05-12T07:29:00Z</dcterms:created>
  <dcterms:modified xsi:type="dcterms:W3CDTF">2025-05-12T08:10:00Z</dcterms:modified>
</cp:coreProperties>
</file>