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Appendix A</w:t>
      </w:r>
    </w:p>
    <w:p>
      <w:pPr>
        <w:spacing w:after="240"/>
        <w:jc w:val="center"/>
      </w:pPr>
      <w:r>
        <w:rPr>
          <w:b/>
          <w:i w:val="0"/>
          <w:sz w:val="24"/>
        </w:rPr>
        <w:t>VI-SPDAT Items, Scoring Rules, and Frequency in the Synthetic Population</w:t>
      </w:r>
    </w:p>
    <w:p>
      <w:pPr>
        <w:spacing w:after="0"/>
      </w:pPr>
      <w:r>
        <w:rPr>
          <w:b/>
          <w:i w:val="0"/>
          <w:sz w:val="24"/>
        </w:rPr>
        <w:t>Table A1</w:t>
      </w:r>
    </w:p>
    <w:p>
      <w:pPr>
        <w:spacing w:after="80"/>
      </w:pPr>
      <w:r>
        <w:rPr>
          <w:b w:val="0"/>
          <w:i/>
          <w:sz w:val="24"/>
        </w:rPr>
        <w:t>VI-SPDAT 2.0 (Single Adults) Scoring 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44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>Item</w:t>
            </w:r>
          </w:p>
        </w:tc>
        <w:tc>
          <w:tcPr>
            <w:tcW w:type="dxa" w:w="115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Questions</w:t>
            </w:r>
          </w:p>
        </w:tc>
        <w:tc>
          <w:tcPr>
            <w:tcW w:type="dxa" w:w="432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Scoring rule</w:t>
            </w:r>
          </w:p>
        </w:tc>
        <w:tc>
          <w:tcPr>
            <w:tcW w:type="dxa" w:w="1440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Profiles meeting it, n (%)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i/>
                <w:sz w:val="18"/>
              </w:rPr>
              <w:t>Pre-Survey (max 1)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Age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Basic Information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the person is 60 years of age or older, then score 1.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19 (19%)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i/>
                <w:sz w:val="18"/>
              </w:rPr>
              <w:t>A. History of Housing and Homelessness (max 2)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Housing status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Q1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the person answers anything other than "shelter", "transitional housing", or "safe haven", then score 1.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67 (67%)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Duration and episodes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Q2–3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the person has experienced 1 or more consecutive years of homelessness, and/or 4+ episodes of homelessness, then score 1.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52 (52%)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i/>
                <w:sz w:val="18"/>
              </w:rPr>
              <w:t>B. Risks (max 4)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Emergency Service Use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Q4a–f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the total number of interactions equals 4 or more, then score 1 for emergency service use.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50 (50%)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Risk of Harm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Q5–6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 to any of the above, then score 1 for risk of harm.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40 (40%)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Legal Issues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Q7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"yes," then score 1 for legal issues.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24 (24%)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Risk of Exploitation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Q8–9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 to any of the above, then score 1 for risk of exploitation.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19 (19%)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i/>
                <w:sz w:val="18"/>
              </w:rPr>
              <w:t>C. Socialization and Daily Functions (max 4)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Money Management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Q10–11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 to question 10 or "no" to question 11, then score 1 for money management.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75 (75%)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Meaningful Daily Activity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Q12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"no," then score 1 for meaningful daily activity.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45 (45%)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Self-Care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Q13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"no," then score 1 for self-care.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36 (36%)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Social Relationships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Q14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"yes," then score 1 for social relationships.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25 (25%)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i/>
                <w:sz w:val="18"/>
              </w:rPr>
              <w:t>D. Wellness (max 6)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i/>
                <w:sz w:val="18"/>
              </w:rPr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Physical Health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Q15–20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 to any of the above, then score 1 for physical health.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54 (54%)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Substance Use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Q21–22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 to any of the above, then score 1 for substance use.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41 (41%)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Mental Health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Q23–24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 to any of the above, then score 1 for mental health.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33 (33%)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Tri-Morbidity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Derived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the respondent scored 1 for physical health and 1 for substance use and 1 for mental health, score 1 for tri-morbidity.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17 (17%)</w:t>
            </w:r>
          </w:p>
        </w:tc>
      </w:tr>
      <w:tr>
        <w:tc>
          <w:tcPr>
            <w:tcW w:type="dxa" w:w="24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Medications</w:t>
            </w:r>
          </w:p>
        </w:tc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Q25–26</w:t>
            </w:r>
          </w:p>
        </w:tc>
        <w:tc>
          <w:tcPr>
            <w:tcW w:type="dxa" w:w="432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 to any of the above, score 1 for medications.</w:t>
            </w:r>
          </w:p>
        </w:tc>
        <w:tc>
          <w:tcPr>
            <w:tcW w:type="dxa" w:w="1440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30 (30%)</w:t>
            </w:r>
          </w:p>
        </w:tc>
      </w:tr>
      <w:tr>
        <w:tc>
          <w:tcPr>
            <w:tcW w:type="dxa" w:w="244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8"/>
              </w:rPr>
              <w:t xml:space="preserve">    Abuse and Trauma</w:t>
            </w:r>
          </w:p>
        </w:tc>
        <w:tc>
          <w:tcPr>
            <w:tcW w:type="dxa" w:w="115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Q27</w:t>
            </w:r>
          </w:p>
        </w:tc>
        <w:tc>
          <w:tcPr>
            <w:tcW w:type="dxa" w:w="432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If "yes", score 1 for abuse and trauma.</w:t>
            </w:r>
          </w:p>
        </w:tc>
        <w:tc>
          <w:tcPr>
            <w:tcW w:type="dxa" w:w="1440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8"/>
              </w:rPr>
              <w:t>19 (19%)</w:t>
            </w:r>
          </w:p>
        </w:tc>
      </w:tr>
    </w:tbl>
    <w:p>
      <w:pPr>
        <w:spacing w:before="80"/>
      </w:pPr>
      <w:r>
        <w:rPr>
          <w:i/>
          <w:sz w:val="18"/>
        </w:rPr>
        <w:t xml:space="preserve">Note. </w:t>
      </w:r>
      <w:r>
        <w:rPr>
          <w:sz w:val="18"/>
        </w:rPr>
        <w:t>Rules are quoted from the VI-SPDAT American Version 2.0 for single adults (©2015 OrgCode Consulting Inc. and Community Solutions. All rights reserved.). Each item met scores 1 point; maximum 17. N = 100.</w:t>
      </w:r>
    </w:p>
    <w:p/>
    <w:p>
      <w:pPr>
        <w:spacing w:after="0"/>
      </w:pPr>
      <w:r>
        <w:rPr>
          <w:b/>
          <w:i w:val="0"/>
          <w:sz w:val="24"/>
        </w:rPr>
        <w:t>Table A2</w:t>
      </w:r>
    </w:p>
    <w:p>
      <w:pPr>
        <w:spacing w:after="80"/>
      </w:pPr>
      <w:r>
        <w:rPr>
          <w:b w:val="0"/>
          <w:i/>
          <w:sz w:val="24"/>
        </w:rPr>
        <w:t>VI-SPDAT Score Ranges, Recommendations, and Priority Categories Used for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20"/>
              </w:rPr>
              <w:t>Score</w:t>
            </w:r>
          </w:p>
        </w:tc>
        <w:tc>
          <w:tcPr>
            <w:tcW w:type="dxa" w:w="475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VI-SPDAT recommendation</w:t>
            </w:r>
          </w:p>
        </w:tc>
        <w:tc>
          <w:tcPr>
            <w:tcW w:type="dxa" w:w="17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Priority category</w:t>
            </w:r>
          </w:p>
        </w:tc>
        <w:tc>
          <w:tcPr>
            <w:tcW w:type="dxa" w:w="172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Profiles, n (%)</w:t>
            </w:r>
          </w:p>
        </w:tc>
      </w:tr>
      <w:tr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20"/>
              </w:rPr>
              <w:t>0-3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No housing intervention at this time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Low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25 (25%)</w:t>
            </w:r>
          </w:p>
        </w:tc>
      </w:tr>
      <w:tr>
        <w:tc>
          <w:tcPr>
            <w:tcW w:type="dxa" w:w="11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20"/>
              </w:rPr>
              <w:t>4-7</w:t>
            </w:r>
          </w:p>
        </w:tc>
        <w:tc>
          <w:tcPr>
            <w:tcW w:type="dxa" w:w="475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An assessment for Rapid Re-Housing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Medium</w:t>
            </w:r>
          </w:p>
        </w:tc>
        <w:tc>
          <w:tcPr>
            <w:tcW w:type="dxa" w:w="172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40 (40%)</w:t>
            </w:r>
          </w:p>
        </w:tc>
      </w:tr>
      <w:tr>
        <w:tc>
          <w:tcPr>
            <w:tcW w:type="dxa" w:w="115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20"/>
              </w:rPr>
              <w:t>8-17</w:t>
            </w:r>
          </w:p>
        </w:tc>
        <w:tc>
          <w:tcPr>
            <w:tcW w:type="dxa" w:w="475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An assessment for Permanent Supportive Housing / Housing First</w:t>
            </w:r>
          </w:p>
        </w:tc>
        <w:tc>
          <w:tcPr>
            <w:tcW w:type="dxa" w:w="172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High</w:t>
            </w:r>
          </w:p>
        </w:tc>
        <w:tc>
          <w:tcPr>
            <w:tcW w:type="dxa" w:w="172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20"/>
              </w:rPr>
              <w:t>35 (35%)</w:t>
            </w:r>
          </w:p>
        </w:tc>
      </w:tr>
    </w:tbl>
    <w:p>
      <w:pPr>
        <w:spacing w:before="80"/>
      </w:pPr>
      <w:r>
        <w:rPr>
          <w:i/>
          <w:sz w:val="20"/>
        </w:rPr>
        <w:t xml:space="preserve">Note. </w:t>
      </w:r>
      <w:r>
        <w:rPr>
          <w:sz w:val="20"/>
        </w:rPr>
        <w:t>Gemini chose among the same three priority categories, defined by the kind of help needed (Appendix B), so the two approaches are compared category to category.</w:t>
      </w:r>
    </w:p>
    <w:p/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Appendix B</w:t>
      </w:r>
    </w:p>
    <w:p>
      <w:pPr>
        <w:spacing w:after="240"/>
        <w:jc w:val="center"/>
      </w:pPr>
      <w:r>
        <w:rPr>
          <w:b/>
          <w:i w:val="0"/>
          <w:sz w:val="24"/>
        </w:rPr>
        <w:t>Prompt Sent to Gemini</w:t>
      </w:r>
    </w:p>
    <w:p>
      <w:pPr>
        <w:spacing w:after="160"/>
      </w:pPr>
      <w:r>
        <w:rPr>
          <w:b w:val="0"/>
          <w:i w:val="0"/>
          <w:sz w:val="22"/>
        </w:rPr>
        <w:t>The same text was sent for every profile, one profile per request, with no other context. Only the case summary differed. Gemini was not shown VI-SPDAT questions, items, rules, or scores.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You are helping a homeless services agency decide who should be prioritized for housing assistance. Below is a case summary written by intake staff. Using your own judgment, decide how high a priority this person should be for housing assistance.</w:t>
      </w:r>
    </w:p>
    <w:p>
      <w:pPr>
        <w:spacing w:after="0"/>
        <w:ind w:left="720"/>
      </w:pPr>
      <w:r>
        <w:rPr>
          <w:rFonts w:ascii="Courier New" w:hAnsi="Courier New"/>
          <w:sz w:val="19"/>
        </w:rPr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Choose exactly one priority category: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- High: needs intensive, long-term help, such as permanent housing with ongoing support services, and should be among the first people offered housing.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- Medium: needs time-limited help, such as short-term rental assistance and help finding a place, to get back into housing.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- Low: likely to get back into housing with little or no help from the agency at this time.</w:t>
      </w:r>
    </w:p>
    <w:p>
      <w:pPr>
        <w:spacing w:after="0"/>
        <w:ind w:left="720"/>
      </w:pPr>
      <w:r>
        <w:rPr>
          <w:rFonts w:ascii="Courier New" w:hAnsi="Courier New"/>
          <w:sz w:val="19"/>
        </w:rPr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Base your judgment only on the information in the case summary.</w:t>
      </w:r>
    </w:p>
    <w:p>
      <w:pPr>
        <w:spacing w:after="0"/>
      </w:pPr>
    </w:p>
    <w:p>
      <w:pPr>
        <w:spacing w:after="0"/>
        <w:ind w:left="720"/>
      </w:pPr>
      <w:r>
        <w:rPr>
          <w:rFonts w:ascii="Courier New" w:hAnsi="Courier New"/>
          <w:sz w:val="19"/>
        </w:rPr>
        <w:t>Case summary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[Age, gender, race, and location]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Work and education: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Path into homelessness: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Current housing: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Finances: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Health: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Safety: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Family and social ties: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A typical day: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Goals: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Service history: [text]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Presentation in the interview: [text]</w:t>
      </w:r>
    </w:p>
    <w:p>
      <w:pPr>
        <w:spacing w:after="0"/>
      </w:pPr>
    </w:p>
    <w:p>
      <w:pPr>
        <w:spacing w:after="0"/>
        <w:ind w:left="720"/>
      </w:pPr>
      <w:r>
        <w:rPr>
          <w:rFonts w:ascii="Courier New" w:hAnsi="Courier New"/>
          <w:sz w:val="19"/>
        </w:rPr>
        <w:t>Reply with JSON only, and no other text, in exactly this format:</w:t>
      </w:r>
    </w:p>
    <w:p>
      <w:pPr>
        <w:spacing w:after="0"/>
        <w:ind w:left="720"/>
      </w:pPr>
      <w:r>
        <w:rPr>
          <w:rFonts w:ascii="Courier New" w:hAnsi="Courier New"/>
          <w:sz w:val="19"/>
        </w:rPr>
        <w:t>{"priority": "High" or "Medium" or "Low", "explanation": "&lt;one or two sentences&gt;"}</w:t>
      </w:r>
    </w:p>
    <w:p>
      <w:pPr>
        <w:spacing w:after="0"/>
      </w:pPr>
    </w:p>
    <w:p>
      <w:pPr>
        <w:spacing w:after="0"/>
      </w:pPr>
      <w:r>
        <w:rPr>
          <w:b w:val="0"/>
          <w:i/>
          <w:sz w:val="22"/>
        </w:rPr>
        <w:t>Example demographic line: Age 34. Gender: Female. Race: Hispanic/Latino/e/a. Location: Chicago, Illinois.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after="0"/>
        <w:jc w:val="center"/>
      </w:pPr>
      <w:r>
        <w:rPr>
          <w:b/>
          <w:i w:val="0"/>
          <w:sz w:val="24"/>
        </w:rPr>
        <w:t>Appendix C</w:t>
      </w:r>
    </w:p>
    <w:p>
      <w:pPr>
        <w:spacing w:after="240"/>
        <w:jc w:val="center"/>
      </w:pPr>
      <w:r>
        <w:rPr>
          <w:b/>
          <w:i w:val="0"/>
          <w:sz w:val="24"/>
        </w:rPr>
        <w:t>The 100 Synthetic Profiles</w:t>
      </w:r>
    </w:p>
    <w:p>
      <w:pPr>
        <w:spacing w:after="0"/>
      </w:pPr>
      <w:r>
        <w:rPr>
          <w:b/>
          <w:i w:val="0"/>
          <w:sz w:val="24"/>
        </w:rPr>
        <w:t>Table C1</w:t>
      </w:r>
    </w:p>
    <w:p>
      <w:pPr>
        <w:spacing w:after="80"/>
      </w:pPr>
      <w:r>
        <w:rPr>
          <w:b w:val="0"/>
          <w:i/>
          <w:sz w:val="24"/>
        </w:rPr>
        <w:t>Profiles by VI-SPDAT Score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c>
          <w:tcPr>
            <w:tcW w:type="dxa" w:w="64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ID</w:t>
            </w:r>
          </w:p>
        </w:tc>
        <w:tc>
          <w:tcPr>
            <w:tcW w:type="dxa" w:w="57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Age</w:t>
            </w:r>
          </w:p>
        </w:tc>
        <w:tc>
          <w:tcPr>
            <w:tcW w:type="dxa" w:w="792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Gender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Race</w:t>
            </w:r>
          </w:p>
        </w:tc>
        <w:tc>
          <w:tcPr>
            <w:tcW w:type="dxa" w:w="64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City</w:t>
            </w:r>
          </w:p>
        </w:tc>
        <w:tc>
          <w:tcPr>
            <w:tcW w:type="dxa" w:w="648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Score</w:t>
            </w:r>
          </w:p>
        </w:tc>
        <w:tc>
          <w:tcPr>
            <w:tcW w:type="dxa" w:w="864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Priority</w:t>
            </w:r>
          </w:p>
        </w:tc>
        <w:tc>
          <w:tcPr>
            <w:tcW w:type="dxa" w:w="7776"/>
            <w:tcBorders>
              <w:top w:val="single" w:sz="6" w:color="000000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VI-SPDAT items met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activity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relationship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relationship cause,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no activity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legal, no income/debt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legal, no income/debt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self-care,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activity,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relationship cause,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P49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Low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P09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no income/debt, no activity,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self-care,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no income/debt,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long/repeat homeless, no income/debt,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relationship cause, mental,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legal, exploited, no income/debt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income/debt, relationship cause,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self-care,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no income/debt, relationship cause, physical,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no activity, self-care,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P59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activity, physical,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no income/debt, self-care,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harm, legal, no income/debt, relationship cause,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self-care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no income/debt,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no income/debt, no activity, substance, mental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harm, relationship cause, physical,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legal, self-care, physical,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no income/debt, no activity,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no income/debt, no activity, self-care, physical,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P69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legal, no income/debt,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exploited, no income/debt, relationship cause, mental,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4+ ER/police, no income/debt, physical, substance,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self-care, mental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no activity, self-care, physical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no income/debt, no activity, self-care, relationship cause, physical,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relationship cause, physical,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no income/debt,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substance,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no income/debt, no activity, self-care, physical,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legal, no income/debt, relationship cause, substance, mental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no income/debt, self-care, physical,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P79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Medium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no income/debt, no activity, physical,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physical,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4+ ER/police, harm, legal, exploited, no income/debt, no activity, self-care, relationship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no income/debt, no activity, self-care,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substance,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no income/debt, self-care,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physical, substance, mental, tri-morbid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relationship cause, physical,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long/repeat homeless, 4+ ER/police, legal, no income/debt, no activity, self-care,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self-care, physical,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4+ ER/police, harm, legal, exploited, physical, substance, mental, tri-morbid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substance, mental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no income/debt, self-care, physical,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relationship cause, substance, mental,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no income/debt, no activity, self-care, physical, meds,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self-care, physical, substance,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P89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physical, substance, mental, tri-morbid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relationship cause, substance,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no income/debt, no activity, self-care, physical,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physical, substance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P92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substance, mental,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P93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self-care, physical, substance, mental, tri-morbid,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P94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4+ ER/police, harm, exploited, no income/debt, relationship cause, physical, substance, mental, tri-morbid,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no income/debt, no activity, physical, substance, mental, tri-morbid, meds,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P95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48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physical, substance, mental, tri-morbid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P96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LA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no income/debt, self-care, physical, substance, mental, tri-morbid,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42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relationship cause, physical, substance, mental, tri-morbid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P97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substance, mental, meds,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exploited, no income/debt, no activity, relationship cause, physical, substance, mental, tri-morbid,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P28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relationship cause, physical, substance, mental, tri-morbid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P99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51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no income/debt, no activity, self-care, relationship cause, physical, substance, mental, tri-morbid,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P29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44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Hisp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Chi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relationship cause, physical, substance, mental, tri-morbid,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P100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Asian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15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legal, exploited, no income/debt, no activity, self-care, physical, substance, mental, tri-morbid, meds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P30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47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AIAN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NYC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unsheltered, long/repeat homeless, 4+ ER/police, harm, legal, exploited, no income/debt, no activity, self-care, relationship cause, physical, substance, mental, tri-morbid, meds, trauma cause</w:t>
            </w:r>
          </w:p>
        </w:tc>
      </w:tr>
      <w:tr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P31</w:t>
            </w:r>
          </w:p>
        </w:tc>
        <w:tc>
          <w:tcPr>
            <w:tcW w:type="dxa" w:w="5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73</w:t>
            </w:r>
          </w:p>
        </w:tc>
        <w:tc>
          <w:tcPr>
            <w:tcW w:type="dxa" w:w="792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F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White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Cin</w:t>
            </w:r>
          </w:p>
        </w:tc>
        <w:tc>
          <w:tcPr>
            <w:tcW w:type="dxa" w:w="648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864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legal, exploited, no income/debt, no activity, self-care, relationship cause, physical, substance, mental, tri-morbid, meds</w:t>
            </w:r>
          </w:p>
        </w:tc>
      </w:tr>
      <w:tr>
        <w:tc>
          <w:tcPr>
            <w:tcW w:type="dxa" w:w="64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left"/>
            </w:pPr>
            <w:r/>
            <w:r>
              <w:rPr>
                <w:sz w:val="16"/>
              </w:rPr>
              <w:t>P32</w:t>
            </w:r>
          </w:p>
        </w:tc>
        <w:tc>
          <w:tcPr>
            <w:tcW w:type="dxa" w:w="57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66</w:t>
            </w:r>
          </w:p>
        </w:tc>
        <w:tc>
          <w:tcPr>
            <w:tcW w:type="dxa" w:w="792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M</w:t>
            </w:r>
          </w:p>
        </w:tc>
        <w:tc>
          <w:tcPr>
            <w:tcW w:type="dxa" w:w="86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Black</w:t>
            </w:r>
          </w:p>
        </w:tc>
        <w:tc>
          <w:tcPr>
            <w:tcW w:type="dxa" w:w="64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Atl</w:t>
            </w:r>
          </w:p>
        </w:tc>
        <w:tc>
          <w:tcPr>
            <w:tcW w:type="dxa" w:w="648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17</w:t>
            </w:r>
          </w:p>
        </w:tc>
        <w:tc>
          <w:tcPr>
            <w:tcW w:type="dxa" w:w="864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High</w:t>
            </w:r>
          </w:p>
        </w:tc>
        <w:tc>
          <w:tcPr>
            <w:tcW w:type="dxa" w:w="7776"/>
            <w:tcBorders>
              <w:top w:val="nil"/>
              <w:bottom w:val="single" w:sz="6" w:color="000000"/>
              <w:left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sz w:val="16"/>
              </w:rPr>
              <w:t>60+, unsheltered, long/repeat homeless, 4+ ER/police, harm, legal, exploited, no income/debt, no activity, self-care, relationship cause, physical, substance, mental, tri-morbid, meds, trauma cause</w:t>
            </w:r>
          </w:p>
        </w:tc>
      </w:tr>
    </w:tbl>
    <w:p>
      <w:pPr>
        <w:spacing w:before="80"/>
      </w:pPr>
      <w:r>
        <w:rPr>
          <w:i/>
          <w:sz w:val="16"/>
        </w:rPr>
        <w:t xml:space="preserve">Note. </w:t>
      </w:r>
      <w:r>
        <w:rPr>
          <w:sz w:val="16"/>
        </w:rPr>
        <w:t>F = female; M = male. AIAN = American Indian, Alaska Native, or Indigenous; Asian = Asian or Asian American; Black = Black, African American, or African; Hisp = Hispanic/Latino/e/a. Cities: LA = Los Angeles, Cin = Cincinnati, Chi = Chicago, Atl = Atlanta, NYC = New York City. Item names are shortened from Table A1. Full case summaries are available on request.</w:t>
      </w:r>
    </w:p>
    <w:p/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