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24"/>
        </w:rPr>
        <w:t>Pilot Results: VI-SPDAT and Gemini Housing Priority</w:t>
      </w:r>
    </w:p>
    <w:p>
      <w:pPr>
        <w:spacing w:after="240"/>
        <w:jc w:val="center"/>
      </w:pPr>
      <w:r>
        <w:rPr>
          <w:b w:val="0"/>
          <w:i w:val="0"/>
          <w:sz w:val="22"/>
        </w:rPr>
        <w:t>Gemini model: gemini-3.5-flash-lite. One independent request per person, identical instructions; Gemini was not shown VI-SPDAT questions or scores.</w:t>
      </w:r>
    </w:p>
    <w:p>
      <w:pPr>
        <w:spacing w:after="0"/>
      </w:pPr>
      <w:r>
        <w:rPr>
          <w:b/>
          <w:i w:val="0"/>
          <w:sz w:val="24"/>
        </w:rPr>
        <w:t>Table 1</w:t>
      </w:r>
    </w:p>
    <w:p>
      <w:pPr>
        <w:spacing w:after="80"/>
      </w:pPr>
      <w:r>
        <w:rPr>
          <w:b w:val="0"/>
          <w:i/>
          <w:sz w:val="24"/>
        </w:rPr>
        <w:t>Composition of the Synthetic Population (N = 100)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748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>Characteristic</w:t>
            </w:r>
          </w:p>
        </w:tc>
        <w:tc>
          <w:tcPr>
            <w:tcW w:type="dxa" w:w="115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15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%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20"/>
              </w:rPr>
              <w:t>Gender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Female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Male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20"/>
              </w:rPr>
              <w:t>Race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American Indian, Alaska Native, or Indigenous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Asian or Asian American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Black, African American, or African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Hispanic/Latino/e/a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White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20"/>
              </w:rPr>
              <w:t>Location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Los Angeles, California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Cincinnati, Ohio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Chicago, Illinois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Atlanta, Georgia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New York City, New York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20"/>
              </w:rPr>
              <w:t>Age group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18-24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9.0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25-39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33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33.0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40-59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39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39.0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60 and older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20"/>
              </w:rPr>
              <w:t>VI-SPDAT priority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High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35.0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Medium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Low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25.0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20"/>
              </w:rPr>
              <w:t>VI-SPDAT circumstance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20"/>
              </w:rPr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Age 60 or older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Sleeping somewhere other than a shelter or transitional housing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67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67.0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Homeless 1+ year continuously or 4+ episodes in 3 years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52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52.0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4+ emergency service contacts in 6 months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Attacked since becoming homeless, or threatened harm to self or others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40.0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Legal issues that could mean jail or fines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24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24.0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Forced, tricked, or trading sex/drugs/favors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No regular income, or owes money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75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75.0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No meaningful daily activity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45.0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Cannot meet basic needs (washing, meals)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36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36.0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Homeless because of a relationship or family breakdown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25.0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Physical health condition (chronic illness, disability, pregnancy, HIV)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54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54.0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Substance use that cost or threatens housing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41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41.0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Mental health condition, head injury, or cognitive impairment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33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33.0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Tri-morbidity (physical + substance + mental)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17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17.0</w:t>
            </w:r>
          </w:p>
        </w:tc>
      </w:tr>
      <w:tr>
        <w:tc>
          <w:tcPr>
            <w:tcW w:type="dxa" w:w="748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Not taking, or selling, prescribed medication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30.0</w:t>
            </w:r>
          </w:p>
        </w:tc>
      </w:tr>
      <w:tr>
        <w:tc>
          <w:tcPr>
            <w:tcW w:type="dxa" w:w="748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 xml:space="preserve">    Homeless because of abuse or trauma</w:t>
            </w:r>
          </w:p>
        </w:tc>
        <w:tc>
          <w:tcPr>
            <w:tcW w:type="dxa" w:w="115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115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19.0</w:t>
            </w:r>
          </w:p>
        </w:tc>
      </w:tr>
    </w:tbl>
    <w:p>
      <w:pPr>
        <w:spacing w:before="80"/>
      </w:pPr>
      <w:r>
        <w:rPr>
          <w:i/>
          <w:sz w:val="20"/>
        </w:rPr>
        <w:t xml:space="preserve">Note. </w:t>
      </w:r>
      <w:r>
        <w:rPr>
          <w:sz w:val="20"/>
        </w:rPr>
        <w:t>VI-SPDAT circumstances are the 17 items of VI-SPDAT 2.0 for single adults; one person can have several. Gender, race, and location were assigned so that each race has 10 women, 10 men, and 4 people in each city, with a similar mix of VI-SPDAT need.</w:t>
      </w:r>
    </w:p>
    <w:p/>
    <w:p>
      <w:pPr>
        <w:spacing w:after="0"/>
      </w:pPr>
      <w:r>
        <w:rPr>
          <w:b/>
          <w:i w:val="0"/>
          <w:sz w:val="24"/>
        </w:rPr>
        <w:t>Table 2</w:t>
      </w:r>
    </w:p>
    <w:p>
      <w:pPr>
        <w:spacing w:after="80"/>
      </w:pPr>
      <w:r>
        <w:rPr>
          <w:b w:val="0"/>
          <w:i/>
          <w:sz w:val="24"/>
        </w:rPr>
        <w:t>Priority Assigned by VI-SPDAT and by Gemini to the Same Profiles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Gemini High</w:t>
            </w:r>
          </w:p>
        </w:tc>
        <w:tc>
          <w:tcPr>
            <w:tcW w:type="dxa" w:w="172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Gemini Medium</w:t>
            </w:r>
          </w:p>
        </w:tc>
        <w:tc>
          <w:tcPr>
            <w:tcW w:type="dxa" w:w="172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Gemini Low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Total</w:t>
            </w:r>
          </w:p>
        </w:tc>
      </w:tr>
      <w:tr>
        <w:tc>
          <w:tcPr>
            <w:tcW w:type="dxa" w:w="259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>VI-SPDAT High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35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35</w:t>
            </w:r>
          </w:p>
        </w:tc>
      </w:tr>
      <w:tr>
        <w:tc>
          <w:tcPr>
            <w:tcW w:type="dxa" w:w="259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>VI-SPDAT Medium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40</w:t>
            </w:r>
          </w:p>
        </w:tc>
      </w:tr>
      <w:tr>
        <w:tc>
          <w:tcPr>
            <w:tcW w:type="dxa" w:w="259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>VI-SPDAT Low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25</w:t>
            </w:r>
          </w:p>
        </w:tc>
      </w:tr>
      <w:tr>
        <w:tc>
          <w:tcPr>
            <w:tcW w:type="dxa" w:w="259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20"/>
              </w:rPr>
              <w:t>Total</w:t>
            </w:r>
          </w:p>
        </w:tc>
        <w:tc>
          <w:tcPr>
            <w:tcW w:type="dxa" w:w="172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66</w:t>
            </w:r>
          </w:p>
        </w:tc>
        <w:tc>
          <w:tcPr>
            <w:tcW w:type="dxa" w:w="172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172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44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100</w:t>
            </w:r>
          </w:p>
        </w:tc>
      </w:tr>
    </w:tbl>
    <w:p>
      <w:pPr>
        <w:spacing w:before="80"/>
      </w:pPr>
      <w:r>
        <w:rPr>
          <w:i/>
          <w:sz w:val="20"/>
        </w:rPr>
        <w:t xml:space="preserve">Note. </w:t>
      </w:r>
      <w:r>
        <w:rPr>
          <w:sz w:val="20"/>
        </w:rPr>
        <w:t>Same category: 60 of 100 (60.0%). Gemini higher: 40 (40.0%). Gemini lower: 0 (0.0%). Linear-weighted Cohen's kappa = 0.53. VI-SPDAT categories: High = score 8-17 (Permanent Supportive Housing), Medium = 4-7 (Rapid Re-Housing), Low = 0-3 (no housing intervention).</w:t>
      </w:r>
    </w:p>
    <w:p/>
    <w:p>
      <w:pPr>
        <w:spacing w:after="0"/>
      </w:pPr>
      <w:r>
        <w:rPr>
          <w:b/>
          <w:i w:val="0"/>
          <w:sz w:val="24"/>
        </w:rPr>
        <w:t>Table 3</w:t>
      </w:r>
    </w:p>
    <w:p>
      <w:pPr>
        <w:spacing w:after="80"/>
      </w:pPr>
      <w:r>
        <w:rPr>
          <w:b w:val="0"/>
          <w:i/>
          <w:sz w:val="24"/>
        </w:rPr>
        <w:t>Priority by Group: VI-SPDAT and Gemini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33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Group</w:t>
            </w:r>
          </w:p>
        </w:tc>
        <w:tc>
          <w:tcPr>
            <w:tcW w:type="dxa" w:w="57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VI-SPDAT High</w:t>
              <w:br/>
              <w:t>n (%)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Gemini High</w:t>
              <w:br/>
              <w:t>n (%)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VI-SPDAT Medium</w:t>
              <w:br/>
              <w:t>n (%)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Gemini Medium</w:t>
              <w:br/>
              <w:t>n (%)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VI-SPDAT Low</w:t>
              <w:br/>
              <w:t>n (%)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Gemini Low</w:t>
              <w:br/>
              <w:t>n (%)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Same</w:t>
              <w:br/>
              <w:t>n (%)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Gemini higher</w:t>
              <w:br/>
              <w:t>n (%)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Gemini lower</w:t>
              <w:br/>
              <w:t>n (%)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35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66 (66.0)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40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19 (19.0)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15 (15.0)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60 (60.0)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40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16"/>
              </w:rPr>
              <w:t>Gender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Female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18 (36.0)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32 (64.0)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16 (32.0)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(14.0)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16 (32.0)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11 (22.0)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31 (62.0)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19 (38.0)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Male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17 (34.0)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34 (68.0)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24 (48.0)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 (24.0)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 (18.0)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(8.0)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29 (58.0)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21 (42.0)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16"/>
              </w:rPr>
              <w:t>Race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American Indian, Alaska Native, or Indigenous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13 (65.0)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(20.0)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(15.0)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 (60.0)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Asian or Asian American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13 (65.0)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 (10.0)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11 (55.0)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 (45.0)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Black, African American, or African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13 (65.0)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(20.0)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(15.0)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 (60.0)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Hispanic/Latino/e/a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 (60.0)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(15.0)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13 (65.0)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White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15 (75.0)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 (5.0)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(20.0)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 (60.0)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16"/>
              </w:rPr>
              <w:t>Location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Los Angeles, California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 (30.0)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11 (55.0)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 (45.0)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 (10.0)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 (60.0)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Cincinnati, Ohio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14 (70.0)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(15.0)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(15.0)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11 (55.0)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 (45.0)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Chicago, Illinois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 (30.0)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14 (70.0)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 (45.0)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(15.0)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(15.0)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10 (50.0)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10 (50.0)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Atlanta, Georgia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14 (70.0)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(20.0)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 (10.0)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 (60.0)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New York City, New York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13 (65.0)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(35.0)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 (10.0)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15 (75.0)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(25.0)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16"/>
              </w:rPr>
              <w:t>Age group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18-24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 (22.2)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(55.6)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(44.4)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 (22.2)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(33.3)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 (22.2)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 (66.7)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(33.3)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25-39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10 (30.3)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19 (57.6)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13 (39.4)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 (18.2)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10 (30.3)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(24.2)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22 (66.7)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11 (33.3)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40-59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14 (35.9)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28 (71.8)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17 (43.6)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(17.9)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(20.5)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(10.3)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21 (53.8)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18 (46.2)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60 and older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 (47.4)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14 (73.7)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 (31.6)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(21.1)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(21.1)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 (5.3)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11 (57.9)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(42.1)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16"/>
              </w:rPr>
              <w:t>Current sleeping situation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Shelter or transitional housing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 (9.1)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14 (42.4)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13 (39.4)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(24.2)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17 (51.5)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11 (33.3)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17 (51.5)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16 (48.5)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Unsheltered or other (car, outdoors, couch)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32 (47.8)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52 (77.6)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27 (40.3)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11 (16.4)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(11.9)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(6.0)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43 (64.2)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24 (35.8)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16"/>
              </w:rPr>
              <w:t>Homeless 1+ year or 4+ episodes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Yes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30 (57.7)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47 (90.4)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18 (34.6)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(7.7)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(7.7)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 (1.9)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32 (61.5)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 (38.5)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No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 (10.4)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19 (39.6)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22 (45.8)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15 (31.2)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21 (43.8)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14 (29.2)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28 (58.3)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20 (41.7)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16"/>
              </w:rPr>
              <w:t>Physical health condition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Yes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27 (50.0)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45 (83.3)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23 (42.6)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(14.8)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 (7.4)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 (1.9)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33 (61.1)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21 (38.9)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No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 (17.4)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21 (45.7)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17 (37.0)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11 (23.9)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21 (45.7)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14 (30.4)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27 (58.7)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19 (41.3)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16"/>
              </w:rPr>
              <w:t>Mental health condition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Yes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23 (69.7)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32 (97.0)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 (27.3)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 (3.0)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 (3.0)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24 (72.7)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 (27.3)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No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 (17.9)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34 (50.7)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31 (46.3)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18 (26.9)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24 (35.8)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15 (22.4)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36 (53.7)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31 (46.3)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i/>
                <w:sz w:val="16"/>
              </w:rPr>
              <w:t>Substance 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i/>
                <w:sz w:val="16"/>
              </w:rPr>
            </w:r>
          </w:p>
        </w:tc>
      </w:tr>
      <w:tr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Yes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28 (68.3)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40 (97.6)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 (29.3)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 (2.4)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 (2.4)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28 (68.3)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13 (31.7)</w:t>
            </w:r>
          </w:p>
        </w:tc>
        <w:tc>
          <w:tcPr>
            <w:tcW w:type="dxa" w:w="93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  <w:tr>
        <w:tc>
          <w:tcPr>
            <w:tcW w:type="dxa" w:w="33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 xml:space="preserve">    No</w:t>
            </w:r>
          </w:p>
        </w:tc>
        <w:tc>
          <w:tcPr>
            <w:tcW w:type="dxa" w:w="57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93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7 (11.9)</w:t>
            </w:r>
          </w:p>
        </w:tc>
        <w:tc>
          <w:tcPr>
            <w:tcW w:type="dxa" w:w="93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26 (44.1)</w:t>
            </w:r>
          </w:p>
        </w:tc>
        <w:tc>
          <w:tcPr>
            <w:tcW w:type="dxa" w:w="93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28 (47.5)</w:t>
            </w:r>
          </w:p>
        </w:tc>
        <w:tc>
          <w:tcPr>
            <w:tcW w:type="dxa" w:w="93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18 (30.5)</w:t>
            </w:r>
          </w:p>
        </w:tc>
        <w:tc>
          <w:tcPr>
            <w:tcW w:type="dxa" w:w="93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24 (40.7)</w:t>
            </w:r>
          </w:p>
        </w:tc>
        <w:tc>
          <w:tcPr>
            <w:tcW w:type="dxa" w:w="93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15 (25.4)</w:t>
            </w:r>
          </w:p>
        </w:tc>
        <w:tc>
          <w:tcPr>
            <w:tcW w:type="dxa" w:w="93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32 (54.2)</w:t>
            </w:r>
          </w:p>
        </w:tc>
        <w:tc>
          <w:tcPr>
            <w:tcW w:type="dxa" w:w="93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27 (45.8)</w:t>
            </w:r>
          </w:p>
        </w:tc>
        <w:tc>
          <w:tcPr>
            <w:tcW w:type="dxa" w:w="93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0 (0.0)</w:t>
            </w:r>
          </w:p>
        </w:tc>
      </w:tr>
    </w:tbl>
    <w:p>
      <w:pPr>
        <w:spacing w:before="80"/>
      </w:pPr>
      <w:r>
        <w:rPr>
          <w:i/>
          <w:sz w:val="16"/>
        </w:rPr>
        <w:t xml:space="preserve">Note. </w:t>
      </w:r>
      <w:r>
        <w:rPr>
          <w:sz w:val="16"/>
        </w:rPr>
        <w:t>Percentages are within each group (row). Same, higher, and lower compare the two categories for each person; higher means Gemini placed the person in a higher priority category than VI-SPDAT. Differences between groups describe the two approaches and do not by themselves establish bias, since groups can differ in circumstances.</w:t>
      </w:r>
    </w:p>
    <w:p/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