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pPr>
      <w:r>
        <w:rPr>
          <w:rFonts w:ascii="Arial" w:cs="Arial" w:eastAsia="Arial" w:hAnsi="Arial"/>
          <w:color w:val="3D3D3D"/>
          <w:sz w:val="22"/>
          <w:szCs w:val="22"/>
        </w:rPr>
        <w:t xml:space="preserve"/>
      </w:r>
    </w:p>
    <w:p>
      <w:pPr>
        <w:jc w:val="center"/>
      </w:pPr>
      <w:r>
        <w:rPr>
          <w:rFonts w:ascii="Arial" w:cs="Arial" w:eastAsia="Arial" w:hAnsi="Arial"/>
          <w:b/>
          <w:bCs/>
          <w:color w:val="1A1A1A"/>
          <w:sz w:val="80"/>
          <w:szCs w:val="80"/>
        </w:rPr>
        <w:t xml:space="preserve">PEARL REALTY</w:t>
      </w:r>
    </w:p>
    <w:p>
      <w:pPr>
        <w:pBdr>
          <w:top w:val="none" w:color="FFFFFF" w:sz="0"/>
          <w:left w:val="none" w:color="FFFFFF" w:sz="0"/>
          <w:bottom w:val="single" w:color="B8972A" w:sz="6" w:space="1"/>
          <w:right w:val="none" w:color="FFFFFF" w:sz="0"/>
        </w:pBdr>
        <w:spacing w:before="40" w:after="40"/>
        <w:jc w:val="center"/>
      </w:pPr>
      <w:r>
        <w:rPr>
          <w:rFonts w:ascii="Arial" w:cs="Arial" w:eastAsia="Arial" w:hAnsi="Arial"/>
          <w:color w:val="7A7A7A"/>
          <w:sz w:val="24"/>
          <w:szCs w:val="24"/>
        </w:rPr>
        <w:t xml:space="preserve">PRIVATE REAL ESTATE ADVISORY  ·  DUBAI</w:t>
      </w:r>
    </w:p>
    <w:p>
      <w:pPr>
        <w:spacing w:before="100" w:after="0"/>
      </w:pPr>
      <w:r>
        <w:rPr>
          <w:rFonts w:ascii="Arial" w:cs="Arial" w:eastAsia="Arial" w:hAnsi="Arial"/>
          <w:color w:val="3D3D3D"/>
          <w:sz w:val="22"/>
          <w:szCs w:val="22"/>
        </w:rPr>
        <w:t xml:space="preserve"/>
      </w:r>
    </w:p>
    <w:p>
      <w:pPr>
        <w:jc w:val="center"/>
      </w:pPr>
      <w:r>
        <w:rPr>
          <w:rFonts w:ascii="Arial" w:cs="Arial" w:eastAsia="Arial" w:hAnsi="Arial"/>
          <w:b/>
          <w:bCs/>
          <w:color w:val="1B3A52"/>
          <w:sz w:val="44"/>
          <w:szCs w:val="44"/>
        </w:rPr>
        <w:t xml:space="preserve">COMPREHENSIVE BUSINESS PLAN</w:t>
      </w:r>
    </w:p>
    <w:p>
      <w:pPr>
        <w:spacing w:before="40" w:after="40"/>
        <w:jc w:val="center"/>
      </w:pPr>
      <w:r>
        <w:rPr>
          <w:rFonts w:ascii="Arial" w:cs="Arial" w:eastAsia="Arial" w:hAnsi="Arial"/>
          <w:i/>
          <w:iCs/>
          <w:color w:val="B8972A"/>
          <w:sz w:val="26"/>
          <w:szCs w:val="26"/>
        </w:rPr>
        <w:t xml:space="preserve">Raising USD $1 Billion · Deploying into Dubai Ultra-Prime Real Estate</w:t>
      </w:r>
    </w:p>
    <w:p>
      <w:pPr>
        <w:spacing w:before="360" w:after="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69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Prepared by:</w:t>
            </w:r>
          </w:p>
        </w:tc>
        <w:tc>
          <w:tcPr>
            <w:tcW w:type="dxa" w:w="6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Raghunath Nallamuthu</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Position:</w:t>
            </w:r>
          </w:p>
        </w:tc>
        <w:tc>
          <w:tcPr>
            <w:tcW w:type="dxa" w:w="69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 &amp; Principal Advisor, PEARL REALTY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Document:</w:t>
            </w:r>
          </w:p>
        </w:tc>
        <w:tc>
          <w:tcPr>
            <w:tcW w:type="dxa" w:w="6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Business Plan — Version #004 (Investor Edition)</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Date:</w:t>
            </w:r>
          </w:p>
        </w:tc>
        <w:tc>
          <w:tcPr>
            <w:tcW w:type="dxa" w:w="69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April 2026</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Status: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Strictly Private &amp; Confidential — For Authorised Recipients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FF5F5" w:val="clear"/>
            <w:tcMar>
              <w:top w:type="dxa" w:w="120"/>
              <w:left w:type="dxa" w:w="180"/>
              <w:bottom w:type="dxa" w:w="120"/>
              <w:right w:type="dxa" w:w="160"/>
            </w:tcMar>
          </w:tcPr>
          <w:p>
            <w:r>
              <w:rPr>
                <w:rFonts w:ascii="Arial" w:cs="Arial" w:eastAsia="Arial" w:hAnsi="Arial"/>
                <w:color w:val="8B1A1A"/>
                <w:sz w:val="20"/>
                <w:szCs w:val="20"/>
              </w:rPr>
              <w:t xml:space="preserve">IMPORTANT DISCLOSURE: This document is a forward-looking business plan. All financial projections are estimates. Past performance of comparable advisory businesses does not guarantee future results. Advisory fees, transaction volumes, and market conditions are subject to change. This document does not constitute a financial product, investment advice, or an offer of securities. Recipients should conduct their own due diligence.</w:t>
            </w:r>
          </w:p>
        </w:tc>
      </w:tr>
    </w:tbl>
    <w:p>
      <w:pPr>
        <w:spacing w:before="80" w:after="80"/>
      </w:pPr>
      <w:r>
        <w:rPr>
          <w:rFonts w:ascii="Arial" w:cs="Arial" w:eastAsia="Arial" w:hAnsi="Arial"/>
          <w:color w:val="3D3D3D"/>
          <w:sz w:val="22"/>
          <w:szCs w:val="22"/>
        </w:rPr>
        <w:t xml:space="preserv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1: EXECUTIVE SUMMARY</w:t>
      </w:r>
    </w:p>
    <w:p>
      <w:pPr>
        <w:spacing w:before="20" w:after="2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B8972A"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MISSION</w:t>
            </w:r>
          </w:p>
        </w:tc>
        <w:tc>
          <w:tcPr>
            <w:tcW w:type="dxa" w:w="8940"/>
            <w:tcBorders>
              <w:top w:val="single" w:color="B8972A" w:sz="1"/>
              <w:left w:val="none" w:color="FFFFFF" w:sz="0"/>
              <w:bottom w:val="single" w:color="B8972A" w:sz="1"/>
              <w:right w:val="single" w:color="B8972A" w:sz="1"/>
            </w:tcBorders>
            <w:shd w:fill="F5F2EA" w:val="clear"/>
            <w:tcMar>
              <w:top w:type="dxa" w:w="100"/>
              <w:left w:type="dxa" w:w="160"/>
              <w:bottom w:type="dxa" w:w="100"/>
              <w:right w:type="dxa" w:w="140"/>
            </w:tcMar>
          </w:tcPr>
          <w:p>
            <w:r>
              <w:rPr>
                <w:rFonts w:ascii="Arial" w:cs="Arial" w:eastAsia="Arial" w:hAnsi="Arial"/>
                <w:i/>
                <w:iCs/>
                <w:color w:val="1A1A1A"/>
                <w:sz w:val="21"/>
                <w:szCs w:val="21"/>
              </w:rPr>
              <w:t xml:space="preserve">To build the world's most trusted private real estate advisory practice for ultra-high net worth families — deploying USD $1 billion in advised transaction volume across Dubai's finest assets within 36 months, while generating industry-leading advisory fees and irreplaceable long-term client relationships.</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1.1 Business Overview</w:t>
      </w:r>
    </w:p>
    <w:p>
      <w:pPr>
        <w:spacing w:before="60" w:after="80"/>
        <w:jc w:val="both"/>
      </w:pPr>
      <w:r>
        <w:rPr>
          <w:rFonts w:ascii="Arial" w:cs="Arial" w:eastAsia="Arial" w:hAnsi="Arial"/>
          <w:color w:val="3D3D3D"/>
          <w:sz w:val="22"/>
          <w:szCs w:val="22"/>
        </w:rPr>
        <w:t xml:space="preserve">PEARL REALTY is a private, invitation-only real estate advisory practice headquartered in Dubai, UAE. Founded by Raghunath Nallamuthu — a career-long UHNWI relationship specialist with over a decade of experience across private wealth, luxury real estate advisory, and family office mandates — the firm operates at the intersection of ultra-prime real estate, family wealth strategy, and AI-augmented client service.</w:t>
      </w:r>
    </w:p>
    <w:p>
      <w:pPr>
        <w:spacing w:before="60" w:after="80"/>
        <w:jc w:val="both"/>
      </w:pPr>
      <w:r>
        <w:rPr>
          <w:rFonts w:ascii="Arial" w:cs="Arial" w:eastAsia="Arial" w:hAnsi="Arial"/>
          <w:color w:val="3D3D3D"/>
          <w:sz w:val="22"/>
          <w:szCs w:val="22"/>
        </w:rPr>
        <w:t xml:space="preserve">PEARL REALTY is not a brokerage. It is a strategic advisory practice whose sole obligation is to its client families. Revenue is success-based, interests are perfectly aligned, and every engagement is governed by absolute discretion.</w:t>
      </w:r>
    </w:p>
    <w:p>
      <w:pPr>
        <w:spacing w:before="60" w:after="80"/>
        <w:jc w:val="both"/>
      </w:pPr>
      <w:r>
        <w:rPr>
          <w:rFonts w:ascii="Arial" w:cs="Arial" w:eastAsia="Arial" w:hAnsi="Arial"/>
          <w:color w:val="3D3D3D"/>
          <w:sz w:val="22"/>
          <w:szCs w:val="22"/>
        </w:rPr>
        <w:t xml:space="preserve">The firm focuses exclusively on off-market assets in the $5M–$50M+ range, sourced directly from Dubai's premier developers: Emaar, Sobha, Nakheel, Damac, and Bulgari Residences, among others.</w:t>
      </w:r>
    </w:p>
    <w:p>
      <w:pPr>
        <w:spacing w:before="60" w:after="6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1.2 The Core Opportunity — Why Now</w:t>
      </w:r>
    </w:p>
    <w:p>
      <w:pPr>
        <w:spacing w:before="60" w:after="80"/>
        <w:jc w:val="both"/>
      </w:pPr>
      <w:r>
        <w:rPr>
          <w:rFonts w:ascii="Arial" w:cs="Arial" w:eastAsia="Arial" w:hAnsi="Arial"/>
          <w:color w:val="3D3D3D"/>
          <w:sz w:val="22"/>
          <w:szCs w:val="22"/>
        </w:rPr>
        <w:t xml:space="preserve">Three structural forces are converging to create the single most important opportunity in global private real estate advisory:</w:t>
      </w:r>
    </w:p>
    <w:p>
      <w:pPr>
        <w:pStyle w:val="ListParagraph"/>
        <w:numPr>
          <w:ilvl w:val="0"/>
          <w:numId w:val="2"/>
        </w:numPr>
        <w:spacing w:before="40" w:after="60"/>
      </w:pPr>
      <w:r>
        <w:rPr>
          <w:rFonts w:ascii="Arial" w:cs="Arial" w:eastAsia="Arial" w:hAnsi="Arial"/>
          <w:b/>
          <w:bCs/>
          <w:color w:val="1A1A1A"/>
          <w:sz w:val="22"/>
          <w:szCs w:val="22"/>
        </w:rPr>
        <w:t xml:space="preserve">Global UHNWI capital migration: </w:t>
      </w:r>
      <w:r>
        <w:rPr>
          <w:rFonts w:ascii="Arial" w:cs="Arial" w:eastAsia="Arial" w:hAnsi="Arial"/>
          <w:color w:val="3D3D3D"/>
          <w:sz w:val="22"/>
          <w:szCs w:val="22"/>
        </w:rPr>
        <w:t xml:space="preserve">An estimated $4.2 trillion in private wealth is in active re-domiciliation consideration (BCG Global Wealth Report 2025), driven by rising taxation in the US, UK, and Europe.</w:t>
      </w:r>
    </w:p>
    <w:p>
      <w:pPr>
        <w:pStyle w:val="ListParagraph"/>
        <w:numPr>
          <w:ilvl w:val="0"/>
          <w:numId w:val="2"/>
        </w:numPr>
        <w:spacing w:before="40" w:after="60"/>
      </w:pPr>
      <w:r>
        <w:rPr>
          <w:rFonts w:ascii="Arial" w:cs="Arial" w:eastAsia="Arial" w:hAnsi="Arial"/>
          <w:b/>
          <w:bCs/>
          <w:color w:val="1A1A1A"/>
          <w:sz w:val="22"/>
          <w:szCs w:val="22"/>
        </w:rPr>
        <w:t xml:space="preserve">Dubai as the definitive destination: </w:t>
      </w:r>
      <w:r>
        <w:rPr>
          <w:rFonts w:ascii="Arial" w:cs="Arial" w:eastAsia="Arial" w:hAnsi="Arial"/>
          <w:color w:val="3D3D3D"/>
          <w:sz w:val="22"/>
          <w:szCs w:val="22"/>
        </w:rPr>
        <w:t xml:space="preserve">Dubai has ranked as the #1 international property acquisition destination for four consecutive years. 750+ family offices are now registered in DIFC. The Dubai Land Department recorded AED 528 billion ($144B) in 2023 transactions.</w:t>
      </w:r>
    </w:p>
    <w:p>
      <w:pPr>
        <w:pStyle w:val="ListParagraph"/>
        <w:numPr>
          <w:ilvl w:val="0"/>
          <w:numId w:val="2"/>
        </w:numPr>
        <w:spacing w:before="40" w:after="60"/>
      </w:pPr>
      <w:r>
        <w:rPr>
          <w:rFonts w:ascii="Arial" w:cs="Arial" w:eastAsia="Arial" w:hAnsi="Arial"/>
          <w:b/>
          <w:bCs/>
          <w:color w:val="1A1A1A"/>
          <w:sz w:val="22"/>
          <w:szCs w:val="22"/>
        </w:rPr>
        <w:t xml:space="preserve">Advisory gap: </w:t>
      </w:r>
      <w:r>
        <w:rPr>
          <w:rFonts w:ascii="Arial" w:cs="Arial" w:eastAsia="Arial" w:hAnsi="Arial"/>
          <w:color w:val="3D3D3D"/>
          <w:sz w:val="22"/>
          <w:szCs w:val="22"/>
        </w:rPr>
        <w:t xml:space="preserve">No dominant, UHNWI-dedicated private real estate advisory brand exists in this market. The landscape is fragmented, transactional, and technology-poor. PEARL REALTY fills this gap.</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1.3 Key Financial Highlights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90"/>
        <w:gridCol w:w="1890"/>
        <w:gridCol w:w="2580"/>
      </w:tblGrid>
      <w:tr>
        <w:tc>
          <w:tcPr>
            <w:tcW w:type="dxa" w:w="3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9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 (Conservative)</w:t>
            </w:r>
          </w:p>
        </w:tc>
        <w:tc>
          <w:tcPr>
            <w:tcW w:type="dxa" w:w="189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 (Growth)</w:t>
            </w:r>
          </w:p>
        </w:tc>
        <w:tc>
          <w:tcPr>
            <w:tcW w:type="dxa" w:w="25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 (Scale)</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Advised Deal Volume</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$64M – $96M</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$275M – $385M</w:t>
            </w:r>
          </w:p>
        </w:tc>
        <w:tc>
          <w:tcPr>
            <w:tcW w:type="dxa" w:w="25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$840M – $1,120M</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Number of Transactions</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 – 12</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25 – 35</w:t>
            </w:r>
          </w:p>
        </w:tc>
        <w:tc>
          <w:tcPr>
            <w:tcW w:type="dxa" w:w="25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 – 80</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Average Transaction Value</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$8M</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$11M</w:t>
            </w:r>
          </w:p>
        </w:tc>
        <w:tc>
          <w:tcPr>
            <w:tcW w:type="dxa" w:w="25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$14M</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Primary Revenue (1.5–2%)</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$960K – $1.92M</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$4.1M – $7.7M</w:t>
            </w:r>
          </w:p>
        </w:tc>
        <w:tc>
          <w:tcPr>
            <w:tcW w:type="dxa" w:w="25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$12.6M – $22.4M</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Secondary Revenue Streams</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$175K – $250K</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$600K – $1.1M</w:t>
            </w:r>
          </w:p>
        </w:tc>
        <w:tc>
          <w:tcPr>
            <w:tcW w:type="dxa" w:w="25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$2.0M – $4.2M</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REVENUE</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$1.14M – $2.17M</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$4.7M – $8.8M</w:t>
            </w:r>
          </w:p>
        </w:tc>
        <w:tc>
          <w:tcPr>
            <w:tcW w:type="dxa" w:w="25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$14.6M – $26.6M</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Operating Costs</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$770K</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$1,800K</w:t>
            </w:r>
          </w:p>
        </w:tc>
        <w:tc>
          <w:tcPr>
            <w:tcW w:type="dxa" w:w="25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$3,400K</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EBITDA (Base Case)</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$370K – $1.4M</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$2.9M – $7.0M</w:t>
            </w:r>
          </w:p>
        </w:tc>
        <w:tc>
          <w:tcPr>
            <w:tcW w:type="dxa" w:w="25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$11.2M – $23.2M</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EBITDA Margin</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32% – 64%</w:t>
            </w:r>
          </w:p>
        </w:tc>
        <w:tc>
          <w:tcPr>
            <w:tcW w:type="dxa" w:w="189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62% – 79%</w:t>
            </w:r>
          </w:p>
        </w:tc>
        <w:tc>
          <w:tcPr>
            <w:tcW w:type="dxa" w:w="25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77% – 87%</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Initial Capital Required</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$500K</w:t>
            </w:r>
          </w:p>
        </w:tc>
        <w:tc>
          <w:tcPr>
            <w:tcW w:type="dxa" w:w="189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Self-funded from Y1 revenue</w:t>
            </w:r>
          </w:p>
        </w:tc>
        <w:tc>
          <w:tcPr>
            <w:tcW w:type="dxa" w:w="25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Self-funded</w:t>
            </w:r>
          </w:p>
        </w:tc>
      </w:tr>
    </w:tbl>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FF5F5" w:val="clear"/>
            <w:tcMar>
              <w:top w:type="dxa" w:w="120"/>
              <w:left w:type="dxa" w:w="180"/>
              <w:bottom w:type="dxa" w:w="120"/>
              <w:right w:type="dxa" w:w="160"/>
            </w:tcMar>
          </w:tcPr>
          <w:p>
            <w:r>
              <w:rPr>
                <w:rFonts w:ascii="Arial" w:cs="Arial" w:eastAsia="Arial" w:hAnsi="Arial"/>
                <w:color w:val="8B1A1A"/>
                <w:sz w:val="20"/>
                <w:szCs w:val="20"/>
              </w:rPr>
              <w:t xml:space="preserve">NOTE FOR INVESTORS: Year 1 EBITDA is entirely dependent on successfully closing 8+ transactions. The Bear Case (4 transactions) produces negative EBITDA of approximately -$290K. See Section 7.4 for full sensitivity analysis and monthly cash flow projections.</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1.4 The Investment Thesis — Five Non-Negotiables</w:t>
      </w:r>
    </w:p>
    <w:p>
      <w:pPr>
        <w:pStyle w:val="ListParagraph"/>
        <w:numPr>
          <w:ilvl w:val="0"/>
          <w:numId w:val="2"/>
        </w:numPr>
        <w:spacing w:before="40" w:after="60"/>
      </w:pPr>
      <w:r>
        <w:rPr>
          <w:rFonts w:ascii="Arial" w:cs="Arial" w:eastAsia="Arial" w:hAnsi="Arial"/>
          <w:b/>
          <w:bCs/>
          <w:color w:val="1A1A1A"/>
          <w:sz w:val="22"/>
          <w:szCs w:val="22"/>
        </w:rPr>
        <w:t xml:space="preserve">1. Market Timing Is Critical: </w:t>
      </w:r>
      <w:r>
        <w:rPr>
          <w:rFonts w:ascii="Arial" w:cs="Arial" w:eastAsia="Arial" w:hAnsi="Arial"/>
          <w:color w:val="3D3D3D"/>
          <w:sz w:val="22"/>
          <w:szCs w:val="22"/>
        </w:rPr>
        <w:t xml:space="preserve">The Dubai ultra-prime segment is in a structural growth phase, not a cyclical one. The window for establishing a dominant private advisory brand is 18–24 months before institutional players scale their UAE presence.</w:t>
      </w:r>
    </w:p>
    <w:p>
      <w:pPr>
        <w:pStyle w:val="ListParagraph"/>
        <w:numPr>
          <w:ilvl w:val="0"/>
          <w:numId w:val="2"/>
        </w:numPr>
        <w:spacing w:before="40" w:after="60"/>
      </w:pPr>
      <w:r>
        <w:rPr>
          <w:rFonts w:ascii="Arial" w:cs="Arial" w:eastAsia="Arial" w:hAnsi="Arial"/>
          <w:b/>
          <w:bCs/>
          <w:color w:val="1A1A1A"/>
          <w:sz w:val="22"/>
          <w:szCs w:val="22"/>
        </w:rPr>
        <w:t xml:space="preserve">2. The Advisory Gap Is Real and Measurable: </w:t>
      </w:r>
      <w:r>
        <w:rPr>
          <w:rFonts w:ascii="Arial" w:cs="Arial" w:eastAsia="Arial" w:hAnsi="Arial"/>
          <w:color w:val="3D3D3D"/>
          <w:sz w:val="22"/>
          <w:szCs w:val="22"/>
        </w:rPr>
        <w:t xml:space="preserve">Of the top 20 UHNWI real estate advisors globally, zero are headquartered in Dubai with a primary UHNWI private mandate focus. This is the gap PEARL REALTY occupies.</w:t>
      </w:r>
    </w:p>
    <w:p>
      <w:pPr>
        <w:pStyle w:val="ListParagraph"/>
        <w:numPr>
          <w:ilvl w:val="0"/>
          <w:numId w:val="2"/>
        </w:numPr>
        <w:spacing w:before="40" w:after="60"/>
      </w:pPr>
      <w:r>
        <w:rPr>
          <w:rFonts w:ascii="Arial" w:cs="Arial" w:eastAsia="Arial" w:hAnsi="Arial"/>
          <w:b/>
          <w:bCs/>
          <w:color w:val="1A1A1A"/>
          <w:sz w:val="22"/>
          <w:szCs w:val="22"/>
        </w:rPr>
        <w:t xml:space="preserve">3. The Economics Are Compelling: </w:t>
      </w:r>
      <w:r>
        <w:rPr>
          <w:rFonts w:ascii="Arial" w:cs="Arial" w:eastAsia="Arial" w:hAnsi="Arial"/>
          <w:color w:val="3D3D3D"/>
          <w:sz w:val="22"/>
          <w:szCs w:val="22"/>
        </w:rPr>
        <w:t xml:space="preserve">A success-fee model at 1.5–2% on $1B in advised transactions generates $15M–$20M in primary fees. At 75%+ EBITDA margins at scale, this is an extraordinarily high-value advisory business.</w:t>
      </w:r>
    </w:p>
    <w:p>
      <w:pPr>
        <w:pStyle w:val="ListParagraph"/>
        <w:numPr>
          <w:ilvl w:val="0"/>
          <w:numId w:val="2"/>
        </w:numPr>
        <w:spacing w:before="40" w:after="60"/>
      </w:pPr>
      <w:r>
        <w:rPr>
          <w:rFonts w:ascii="Arial" w:cs="Arial" w:eastAsia="Arial" w:hAnsi="Arial"/>
          <w:b/>
          <w:bCs/>
          <w:color w:val="1A1A1A"/>
          <w:sz w:val="22"/>
          <w:szCs w:val="22"/>
        </w:rPr>
        <w:t xml:space="preserve">4. The Infrastructure Is Deployed: </w:t>
      </w:r>
      <w:r>
        <w:rPr>
          <w:rFonts w:ascii="Arial" w:cs="Arial" w:eastAsia="Arial" w:hAnsi="Arial"/>
          <w:color w:val="3D3D3D"/>
          <w:sz w:val="22"/>
          <w:szCs w:val="22"/>
        </w:rPr>
        <w:t xml:space="preserve">AI stack, developer relationships, CRM, and brand architecture are operational before the first client is engaged.</w:t>
      </w:r>
    </w:p>
    <w:p>
      <w:pPr>
        <w:pStyle w:val="ListParagraph"/>
        <w:numPr>
          <w:ilvl w:val="0"/>
          <w:numId w:val="2"/>
        </w:numPr>
        <w:spacing w:before="40" w:after="60"/>
      </w:pPr>
      <w:r>
        <w:rPr>
          <w:rFonts w:ascii="Arial" w:cs="Arial" w:eastAsia="Arial" w:hAnsi="Arial"/>
          <w:b/>
          <w:bCs/>
          <w:color w:val="1A1A1A"/>
          <w:sz w:val="22"/>
          <w:szCs w:val="22"/>
        </w:rPr>
        <w:t xml:space="preserve">5. Key Risk Is Acknowledged: </w:t>
      </w:r>
      <w:r>
        <w:rPr>
          <w:rFonts w:ascii="Arial" w:cs="Arial" w:eastAsia="Arial" w:hAnsi="Arial"/>
          <w:color w:val="3D3D3D"/>
          <w:sz w:val="22"/>
          <w:szCs w:val="22"/>
        </w:rPr>
        <w:t xml:space="preserve">The business is founder-dependent in Year 1. This is a deliberate design choice, not a weakness — UHNWI clients buy the person, not the firm. Mitigation is built into the Year 2 team plan.</w:t>
      </w:r>
    </w:p>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2: COMPANY OVERVIEW &amp; FOUNDER PROFILE</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2.1 Company Description</w:t>
      </w:r>
    </w:p>
    <w:p>
      <w:pPr>
        <w:spacing w:before="60" w:after="80"/>
        <w:jc w:val="both"/>
      </w:pPr>
      <w:r>
        <w:rPr>
          <w:rFonts w:ascii="Arial" w:cs="Arial" w:eastAsia="Arial" w:hAnsi="Arial"/>
          <w:color w:val="3D3D3D"/>
          <w:sz w:val="22"/>
          <w:szCs w:val="22"/>
        </w:rPr>
        <w:t xml:space="preserve">PEARL REALTY operates as a private real estate advisory practice. The firm is registered in Dubai, UAE, with a regulatory structure to be finalised as either a Dubai Mainland Professional Company or a DIFC Prescribed Company, depending on the advisory licensing pathway selected (see Section 10 for full legal analysis and decision framework).</w:t>
      </w:r>
    </w:p>
    <w:p>
      <w:pPr>
        <w:spacing w:before="60" w:after="80"/>
        <w:jc w:val="both"/>
      </w:pPr>
      <w:r>
        <w:rPr>
          <w:rFonts w:ascii="Arial" w:cs="Arial" w:eastAsia="Arial" w:hAnsi="Arial"/>
          <w:color w:val="3D3D3D"/>
          <w:sz w:val="22"/>
          <w:szCs w:val="22"/>
        </w:rPr>
        <w:t xml:space="preserve">The operating model is built on three non-negotiables: exclusivity (all engagements by introduction or invitation only), discretion (no transaction is ever announced), and precision (a maximum of 35 active client mandates at any time to preserve advisory quality).</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w:t>
            </w:r>
          </w:p>
        </w:tc>
        <w:tc>
          <w:tcPr>
            <w:tcW w:type="dxa" w:w="63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Entity</w:t>
            </w:r>
          </w:p>
        </w:tc>
        <w:tc>
          <w:tcPr>
            <w:tcW w:type="dxa" w:w="6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To be registered: Dubai Mainland LLC or DIFC Prescribed Company (Q2 2026)</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Headquarters</w:t>
            </w:r>
          </w:p>
        </w:tc>
        <w:tc>
          <w:tcPr>
            <w:tcW w:type="dxa" w:w="63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UAE (DIFC preferred for international credibility)</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Advisory Markets</w:t>
            </w:r>
          </w:p>
        </w:tc>
        <w:tc>
          <w:tcPr>
            <w:tcW w:type="dxa" w:w="6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(primary), London, Mumbai, Singapore, GCC</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Founded</w:t>
            </w:r>
          </w:p>
        </w:tc>
        <w:tc>
          <w:tcPr>
            <w:tcW w:type="dxa" w:w="63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2024 — Advisory operations live April 2026</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Revenue Model</w:t>
            </w:r>
          </w:p>
        </w:tc>
        <w:tc>
          <w:tcPr>
            <w:tcW w:type="dxa" w:w="6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Success-based fee: 1.5%–2% of transaction value</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Target Deal Volume</w:t>
            </w:r>
          </w:p>
        </w:tc>
        <w:tc>
          <w:tcPr>
            <w:tcW w:type="dxa" w:w="63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USD $1 Billion in 36 months (advised transactions)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 Minimum</w:t>
            </w:r>
          </w:p>
        </w:tc>
        <w:tc>
          <w:tcPr>
            <w:tcW w:type="dxa" w:w="636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USD $5,000,000 asset value / USD $10M net worth</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 Type</w:t>
            </w:r>
          </w:p>
        </w:tc>
        <w:tc>
          <w:tcPr>
            <w:tcW w:type="dxa" w:w="63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UHNWI, Family Offices, GCC Elite, PE/HF Founders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Engagement Model</w:t>
            </w:r>
          </w:p>
        </w:tc>
        <w:tc>
          <w:tcPr>
            <w:tcW w:type="dxa" w:w="6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Invitation or introduction only — strictly private</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RERA Status</w:t>
            </w:r>
          </w:p>
        </w:tc>
        <w:tc>
          <w:tcPr>
            <w:tcW w:type="dxa" w:w="63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Application to be filed Q2 2026</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2.2 Founder Profile — Raghunath Nallamuthu</w:t>
      </w:r>
    </w:p>
    <w:p>
      <w:pPr>
        <w:spacing w:before="60" w:after="80"/>
        <w:jc w:val="both"/>
      </w:pPr>
      <w:r>
        <w:rPr>
          <w:rFonts w:ascii="Arial" w:cs="Arial" w:eastAsia="Arial" w:hAnsi="Arial"/>
          <w:color w:val="3D3D3D"/>
          <w:sz w:val="22"/>
          <w:szCs w:val="22"/>
        </w:rPr>
        <w:t xml:space="preserve">The strength of any private advisory practice is inseparable from its founder. Investors and clients are not engaging PEARL REALTY — they are engaging Raghunath Nallamuthu. The following provides a factual basis for this trust.</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2A" w:sz="1"/>
              <w:left w:val="single" w:color="B8972A" w:sz="1"/>
              <w:bottom w:val="single" w:color="B8972A" w:sz="1"/>
              <w:right w:val="single" w:color="B8972A" w:sz="1"/>
            </w:tcBorders>
            <w:shd w:fill="1B3A52" w:val="clear"/>
            <w:tcMar>
              <w:top w:type="dxa" w:w="160"/>
              <w:left w:type="dxa" w:w="200"/>
              <w:bottom w:type="dxa" w:w="160"/>
              <w:right w:type="dxa" w:w="200"/>
            </w:tcMar>
          </w:tcPr>
          <w:p>
            <w:pPr>
              <w:spacing w:before="0" w:after="80"/>
            </w:pPr>
            <w:r>
              <w:rPr>
                <w:rFonts w:ascii="Arial" w:cs="Arial" w:eastAsia="Arial" w:hAnsi="Arial"/>
                <w:b/>
                <w:bCs/>
                <w:color w:val="FFFFFF"/>
                <w:sz w:val="24"/>
                <w:szCs w:val="24"/>
              </w:rPr>
              <w:t xml:space="preserve">FOUNDER — RAGHUNATH NALLAMUTHU: CREDENTIAL SUMMARY</w:t>
            </w:r>
          </w:p>
          <w:p>
            <w:pPr>
              <w:spacing w:before="0" w:after="40"/>
            </w:pPr>
            <w:r>
              <w:rPr>
                <w:rFonts w:ascii="Arial" w:cs="Arial" w:eastAsia="Arial" w:hAnsi="Arial"/>
                <w:b/>
                <w:bCs/>
                <w:color w:val="F0E8D0"/>
                <w:sz w:val="21"/>
                <w:szCs w:val="21"/>
              </w:rPr>
              <w:t xml:space="preserve">Professional Background:</w:t>
            </w:r>
          </w:p>
          <w:p>
            <w:pPr>
              <w:spacing w:before="20" w:after="20"/>
            </w:pPr>
            <w:r>
              <w:rPr>
                <w:rFonts w:ascii="Arial" w:cs="Arial" w:eastAsia="Arial" w:hAnsi="Arial"/>
                <w:color w:val="D0C8A0"/>
                <w:sz w:val="20"/>
                <w:szCs w:val="20"/>
              </w:rPr>
              <w:t xml:space="preserve">  •  [Summarise prior roles, firms, geographies — e.g. 'Former Senior Advisor at X, responsible for Y clients managing Z AUM']</w:t>
            </w:r>
          </w:p>
          <w:p>
            <w:pPr>
              <w:spacing w:before="20" w:after="20"/>
            </w:pPr>
            <w:r>
              <w:rPr>
                <w:rFonts w:ascii="Arial" w:cs="Arial" w:eastAsia="Arial" w:hAnsi="Arial"/>
                <w:color w:val="D0C8A0"/>
                <w:sz w:val="20"/>
                <w:szCs w:val="20"/>
              </w:rPr>
              <w:t xml:space="preserve">  •  Established network of UHNWI relationships spanning [specific geographies] built over [X] years</w:t>
            </w:r>
          </w:p>
          <w:p>
            <w:pPr>
              <w:spacing w:before="40" w:after="40"/>
            </w:pPr>
            <w:r>
              <w:rPr>
                <w:rFonts w:ascii="Arial" w:cs="Arial" w:eastAsia="Arial" w:hAnsi="Arial"/>
                <w:b/>
                <w:bCs/>
                <w:color w:val="F0E8D0"/>
                <w:sz w:val="21"/>
                <w:szCs w:val="21"/>
              </w:rPr>
              <w:t xml:space="preserve">Track Record (Verifiable):</w:t>
            </w:r>
          </w:p>
          <w:p>
            <w:pPr>
              <w:spacing w:before="20" w:after="20"/>
            </w:pPr>
            <w:r>
              <w:rPr>
                <w:rFonts w:ascii="Arial" w:cs="Arial" w:eastAsia="Arial" w:hAnsi="Arial"/>
                <w:color w:val="D0C8A0"/>
                <w:sz w:val="20"/>
                <w:szCs w:val="20"/>
              </w:rPr>
              <w:t xml:space="preserve">  •  [List 3–5 specific transactions or mandates, anonymised: 'Advised a GCC family office on acquisition of a $14M Dubai waterfront villa (Q4 2024)']</w:t>
            </w:r>
          </w:p>
          <w:p>
            <w:pPr>
              <w:spacing w:before="20" w:after="20"/>
            </w:pPr>
            <w:r>
              <w:rPr>
                <w:rFonts w:ascii="Arial" w:cs="Arial" w:eastAsia="Arial" w:hAnsi="Arial"/>
                <w:color w:val="D0C8A0"/>
                <w:sz w:val="20"/>
                <w:szCs w:val="20"/>
              </w:rPr>
              <w:t xml:space="preserve">  •  [Quantify relationships: 'Active introductory relationships with X private banking RMs managing $Y in combined AUM']</w:t>
            </w:r>
          </w:p>
          <w:p>
            <w:pPr>
              <w:spacing w:before="40" w:after="40"/>
            </w:pPr>
            <w:r>
              <w:rPr>
                <w:rFonts w:ascii="Arial" w:cs="Arial" w:eastAsia="Arial" w:hAnsi="Arial"/>
                <w:b/>
                <w:bCs/>
                <w:color w:val="F0E8D0"/>
                <w:sz w:val="21"/>
                <w:szCs w:val="21"/>
              </w:rPr>
              <w:t xml:space="preserve">Qualifications &amp; Affiliations:</w:t>
            </w:r>
          </w:p>
          <w:p>
            <w:pPr>
              <w:spacing w:before="20" w:after="20"/>
            </w:pPr>
            <w:r>
              <w:rPr>
                <w:rFonts w:ascii="Arial" w:cs="Arial" w:eastAsia="Arial" w:hAnsi="Arial"/>
                <w:color w:val="D0C8A0"/>
                <w:sz w:val="20"/>
                <w:szCs w:val="20"/>
              </w:rPr>
              <w:t xml:space="preserve">  •  RERA Certified Real Estate Broker (Dubai) — [Licence No.]</w:t>
            </w:r>
          </w:p>
          <w:p>
            <w:pPr>
              <w:spacing w:before="20" w:after="20"/>
            </w:pPr>
            <w:r>
              <w:rPr>
                <w:rFonts w:ascii="Arial" w:cs="Arial" w:eastAsia="Arial" w:hAnsi="Arial"/>
                <w:color w:val="D0C8A0"/>
                <w:sz w:val="20"/>
                <w:szCs w:val="20"/>
              </w:rPr>
              <w:t xml:space="preserve">  •  [Any CFA, CFP, CISI, or equivalent qualifications]</w:t>
            </w:r>
          </w:p>
          <w:p>
            <w:pPr>
              <w:spacing w:before="20" w:after="20"/>
            </w:pPr>
            <w:r>
              <w:rPr>
                <w:rFonts w:ascii="Arial" w:cs="Arial" w:eastAsia="Arial" w:hAnsi="Arial"/>
                <w:color w:val="D0C8A0"/>
                <w:sz w:val="20"/>
                <w:szCs w:val="20"/>
              </w:rPr>
              <w:t xml:space="preserve">  •  Member: Dubai Chamber of Commerce, DIFC [Relevant Association]</w:t>
            </w:r>
          </w:p>
        </w:tc>
      </w:tr>
    </w:tbl>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FF5F5" w:val="clear"/>
            <w:tcMar>
              <w:top w:type="dxa" w:w="120"/>
              <w:left w:type="dxa" w:w="180"/>
              <w:bottom w:type="dxa" w:w="120"/>
              <w:right w:type="dxa" w:w="160"/>
            </w:tcMar>
          </w:tcPr>
          <w:p>
            <w:r>
              <w:rPr>
                <w:rFonts w:ascii="Arial" w:cs="Arial" w:eastAsia="Arial" w:hAnsi="Arial"/>
                <w:color w:val="8B1A1A"/>
                <w:sz w:val="20"/>
                <w:szCs w:val="20"/>
              </w:rPr>
              <w:t xml:space="preserve">ACTION REQUIRED: The founder credentials section above must be completed with specific, verifiable facts before this plan is shared with any investor or strategic partner. Generic descriptors ('deep network', 'proven track record') are insufficient for due diligence purposes.</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2.3 Vision, Mission &amp; Values</w:t>
      </w:r>
    </w:p>
    <w:p>
      <w:pPr>
        <w:pStyle w:val="Heading3"/>
        <w:spacing w:before="200" w:after="80"/>
      </w:pPr>
      <w:r>
        <w:rPr>
          <w:rFonts w:ascii="Arial" w:cs="Arial" w:eastAsia="Arial" w:hAnsi="Arial"/>
          <w:b/>
          <w:bCs/>
          <w:color w:val="3D3D3D"/>
          <w:sz w:val="24"/>
          <w:szCs w:val="24"/>
        </w:rPr>
        <w:t xml:space="preserve">Vision</w:t>
      </w:r>
    </w:p>
    <w:p>
      <w:pPr>
        <w:spacing w:before="60" w:after="80"/>
        <w:jc w:val="both"/>
      </w:pPr>
      <w:r>
        <w:rPr>
          <w:rFonts w:ascii="Arial" w:cs="Arial" w:eastAsia="Arial" w:hAnsi="Arial"/>
          <w:color w:val="3D3D3D"/>
          <w:sz w:val="22"/>
          <w:szCs w:val="22"/>
        </w:rPr>
        <w:t xml:space="preserve">To become the most trusted name in private real estate advisory for ultra-high net worth families globally — a practice synonymous with discretion, precision, and generational thinking.</w:t>
      </w:r>
    </w:p>
    <w:p>
      <w:pPr>
        <w:pStyle w:val="Heading3"/>
        <w:spacing w:before="200" w:after="80"/>
      </w:pPr>
      <w:r>
        <w:rPr>
          <w:rFonts w:ascii="Arial" w:cs="Arial" w:eastAsia="Arial" w:hAnsi="Arial"/>
          <w:b/>
          <w:bCs/>
          <w:color w:val="3D3D3D"/>
          <w:sz w:val="24"/>
          <w:szCs w:val="24"/>
        </w:rPr>
        <w:t xml:space="preserve">Mission</w:t>
      </w:r>
    </w:p>
    <w:p>
      <w:pPr>
        <w:spacing w:before="60" w:after="80"/>
        <w:jc w:val="both"/>
      </w:pPr>
      <w:r>
        <w:rPr>
          <w:rFonts w:ascii="Arial" w:cs="Arial" w:eastAsia="Arial" w:hAnsi="Arial"/>
          <w:color w:val="3D3D3D"/>
          <w:sz w:val="22"/>
          <w:szCs w:val="22"/>
        </w:rPr>
        <w:t xml:space="preserve">To curate legacy-grade Dubai real estate for global UHNWI families seeking jurisdictional security, tax efficiency, and wealth continuity across generations — deploying USD $1 billion in advised transactions within 36 months of operation.</w:t>
      </w:r>
    </w:p>
    <w:p>
      <w:pPr>
        <w:pStyle w:val="Heading3"/>
        <w:spacing w:before="200" w:after="80"/>
      </w:pPr>
      <w:r>
        <w:rPr>
          <w:rFonts w:ascii="Arial" w:cs="Arial" w:eastAsia="Arial" w:hAnsi="Arial"/>
          <w:b/>
          <w:bCs/>
          <w:color w:val="3D3D3D"/>
          <w:sz w:val="24"/>
          <w:szCs w:val="24"/>
        </w:rPr>
        <w:t xml:space="preserve">Core Values</w:t>
      </w:r>
    </w:p>
    <w:p>
      <w:pPr>
        <w:pStyle w:val="ListParagraph"/>
        <w:numPr>
          <w:ilvl w:val="0"/>
          <w:numId w:val="2"/>
        </w:numPr>
        <w:spacing w:before="40" w:after="60"/>
      </w:pPr>
      <w:r>
        <w:rPr>
          <w:rFonts w:ascii="Arial" w:cs="Arial" w:eastAsia="Arial" w:hAnsi="Arial"/>
          <w:b/>
          <w:bCs/>
          <w:color w:val="1A1A1A"/>
          <w:sz w:val="22"/>
          <w:szCs w:val="22"/>
        </w:rPr>
        <w:t xml:space="preserve">Discretion:  </w:t>
      </w:r>
      <w:r>
        <w:rPr>
          <w:rFonts w:ascii="Arial" w:cs="Arial" w:eastAsia="Arial" w:hAnsi="Arial"/>
          <w:color w:val="3D3D3D"/>
          <w:sz w:val="22"/>
          <w:szCs w:val="22"/>
        </w:rPr>
        <w:t xml:space="preserve">Absolute. No client name, transaction, or mandate is ever disclosed.</w:t>
      </w:r>
    </w:p>
    <w:p>
      <w:pPr>
        <w:pStyle w:val="ListParagraph"/>
        <w:numPr>
          <w:ilvl w:val="0"/>
          <w:numId w:val="2"/>
        </w:numPr>
        <w:spacing w:before="40" w:after="60"/>
      </w:pPr>
      <w:r>
        <w:rPr>
          <w:rFonts w:ascii="Arial" w:cs="Arial" w:eastAsia="Arial" w:hAnsi="Arial"/>
          <w:b/>
          <w:bCs/>
          <w:color w:val="1A1A1A"/>
          <w:sz w:val="22"/>
          <w:szCs w:val="22"/>
        </w:rPr>
        <w:t xml:space="preserve">Alignment:  </w:t>
      </w:r>
      <w:r>
        <w:rPr>
          <w:rFonts w:ascii="Arial" w:cs="Arial" w:eastAsia="Arial" w:hAnsi="Arial"/>
          <w:color w:val="3D3D3D"/>
          <w:sz w:val="22"/>
          <w:szCs w:val="22"/>
        </w:rPr>
        <w:t xml:space="preserve">We earn only when our clients win. Success-based fees, always.</w:t>
      </w:r>
    </w:p>
    <w:p>
      <w:pPr>
        <w:pStyle w:val="ListParagraph"/>
        <w:numPr>
          <w:ilvl w:val="0"/>
          <w:numId w:val="2"/>
        </w:numPr>
        <w:spacing w:before="40" w:after="60"/>
      </w:pPr>
      <w:r>
        <w:rPr>
          <w:rFonts w:ascii="Arial" w:cs="Arial" w:eastAsia="Arial" w:hAnsi="Arial"/>
          <w:b/>
          <w:bCs/>
          <w:color w:val="1A1A1A"/>
          <w:sz w:val="22"/>
          <w:szCs w:val="22"/>
        </w:rPr>
        <w:t xml:space="preserve">Precision:  </w:t>
      </w:r>
      <w:r>
        <w:rPr>
          <w:rFonts w:ascii="Arial" w:cs="Arial" w:eastAsia="Arial" w:hAnsi="Arial"/>
          <w:color w:val="3D3D3D"/>
          <w:sz w:val="22"/>
          <w:szCs w:val="22"/>
        </w:rPr>
        <w:t xml:space="preserve">We serve few clients exceptionally well, never many clients adequately.</w:t>
      </w:r>
    </w:p>
    <w:p>
      <w:pPr>
        <w:pStyle w:val="ListParagraph"/>
        <w:numPr>
          <w:ilvl w:val="0"/>
          <w:numId w:val="2"/>
        </w:numPr>
        <w:spacing w:before="40" w:after="60"/>
      </w:pPr>
      <w:r>
        <w:rPr>
          <w:rFonts w:ascii="Arial" w:cs="Arial" w:eastAsia="Arial" w:hAnsi="Arial"/>
          <w:b/>
          <w:bCs/>
          <w:color w:val="1A1A1A"/>
          <w:sz w:val="22"/>
          <w:szCs w:val="22"/>
        </w:rPr>
        <w:t xml:space="preserve">Legacy:  </w:t>
      </w:r>
      <w:r>
        <w:rPr>
          <w:rFonts w:ascii="Arial" w:cs="Arial" w:eastAsia="Arial" w:hAnsi="Arial"/>
          <w:color w:val="3D3D3D"/>
          <w:sz w:val="22"/>
          <w:szCs w:val="22"/>
        </w:rPr>
        <w:t xml:space="preserve">Every recommendation is evaluated across a 30-year time horizon, not a 30-day one.</w:t>
      </w:r>
    </w:p>
    <w:p>
      <w:pPr>
        <w:pStyle w:val="ListParagraph"/>
        <w:numPr>
          <w:ilvl w:val="0"/>
          <w:numId w:val="2"/>
        </w:numPr>
        <w:spacing w:before="40" w:after="60"/>
      </w:pPr>
      <w:r>
        <w:rPr>
          <w:rFonts w:ascii="Arial" w:cs="Arial" w:eastAsia="Arial" w:hAnsi="Arial"/>
          <w:b/>
          <w:bCs/>
          <w:color w:val="1A1A1A"/>
          <w:sz w:val="22"/>
          <w:szCs w:val="22"/>
        </w:rPr>
        <w:t xml:space="preserve">Accountability:  </w:t>
      </w:r>
      <w:r>
        <w:rPr>
          <w:rFonts w:ascii="Arial" w:cs="Arial" w:eastAsia="Arial" w:hAnsi="Arial"/>
          <w:color w:val="3D3D3D"/>
          <w:sz w:val="22"/>
          <w:szCs w:val="22"/>
        </w:rPr>
        <w:t xml:space="preserve">We commit to KPIs, publish them internally, and report against them quarterly.</w:t>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2.4 Business Exit Strategy</w:t>
      </w:r>
    </w:p>
    <w:p>
      <w:pPr>
        <w:spacing w:before="60" w:after="80"/>
        <w:jc w:val="both"/>
      </w:pPr>
      <w:r>
        <w:rPr>
          <w:rFonts w:ascii="Arial" w:cs="Arial" w:eastAsia="Arial" w:hAnsi="Arial"/>
          <w:color w:val="3D3D3D"/>
          <w:sz w:val="22"/>
          <w:szCs w:val="22"/>
        </w:rPr>
        <w:t xml:space="preserve">PEARL REALTY is designed to build substantial enterprise value over a 7–10 year horizon. Three strategic exit pathways are identified:</w:t>
      </w:r>
    </w:p>
    <w:p>
      <w:pPr>
        <w:pStyle w:val="ListParagraph"/>
        <w:numPr>
          <w:ilvl w:val="0"/>
          <w:numId w:val="2"/>
        </w:numPr>
        <w:spacing w:before="40" w:after="60"/>
      </w:pPr>
      <w:r>
        <w:rPr>
          <w:rFonts w:ascii="Arial" w:cs="Arial" w:eastAsia="Arial" w:hAnsi="Arial"/>
          <w:b/>
          <w:bCs/>
          <w:color w:val="1A1A1A"/>
          <w:sz w:val="22"/>
          <w:szCs w:val="22"/>
        </w:rPr>
        <w:t xml:space="preserve">Pathway A — Strategic Acquisition (Years 5–7): </w:t>
      </w:r>
      <w:r>
        <w:rPr>
          <w:rFonts w:ascii="Arial" w:cs="Arial" w:eastAsia="Arial" w:hAnsi="Arial"/>
          <w:color w:val="3D3D3D"/>
          <w:sz w:val="22"/>
          <w:szCs w:val="22"/>
        </w:rPr>
        <w:t xml:space="preserve">A global private bank, family office services group, or international luxury real estate brand acquires PEARL REALTY for its client relationships, brand equity, and Dubai market position. Comparable transactions (e.g., Knight Frank's acquisition of boutique advisors) suggest 3–5x annual revenue multiples.</w:t>
      </w:r>
    </w:p>
    <w:p>
      <w:pPr>
        <w:pStyle w:val="ListParagraph"/>
        <w:numPr>
          <w:ilvl w:val="0"/>
          <w:numId w:val="2"/>
        </w:numPr>
        <w:spacing w:before="40" w:after="60"/>
      </w:pPr>
      <w:r>
        <w:rPr>
          <w:rFonts w:ascii="Arial" w:cs="Arial" w:eastAsia="Arial" w:hAnsi="Arial"/>
          <w:b/>
          <w:bCs/>
          <w:color w:val="1A1A1A"/>
          <w:sz w:val="22"/>
          <w:szCs w:val="22"/>
        </w:rPr>
        <w:t xml:space="preserve">Pathway B — PE / Family Office Institutional Investment (Years 3–5): </w:t>
      </w:r>
      <w:r>
        <w:rPr>
          <w:rFonts w:ascii="Arial" w:cs="Arial" w:eastAsia="Arial" w:hAnsi="Arial"/>
          <w:color w:val="3D3D3D"/>
          <w:sz w:val="22"/>
          <w:szCs w:val="22"/>
        </w:rPr>
        <w:t xml:space="preserve">A private equity firm or single family office acquires a minority stake (20–40%) to fund geographic expansion, providing the founder liquidity while retaining operational control.</w:t>
      </w:r>
    </w:p>
    <w:p>
      <w:pPr>
        <w:pStyle w:val="ListParagraph"/>
        <w:numPr>
          <w:ilvl w:val="0"/>
          <w:numId w:val="2"/>
        </w:numPr>
        <w:spacing w:before="40" w:after="60"/>
      </w:pPr>
      <w:r>
        <w:rPr>
          <w:rFonts w:ascii="Arial" w:cs="Arial" w:eastAsia="Arial" w:hAnsi="Arial"/>
          <w:b/>
          <w:bCs/>
          <w:color w:val="1A1A1A"/>
          <w:sz w:val="22"/>
          <w:szCs w:val="22"/>
        </w:rPr>
        <w:t xml:space="preserve">Pathway C — Managed Partnership Model (Years 5+): </w:t>
      </w:r>
      <w:r>
        <w:rPr>
          <w:rFonts w:ascii="Arial" w:cs="Arial" w:eastAsia="Arial" w:hAnsi="Arial"/>
          <w:color w:val="3D3D3D"/>
          <w:sz w:val="22"/>
          <w:szCs w:val="22"/>
        </w:rPr>
        <w:t xml:space="preserve">Senior advisors acquire equity stakes, transitioning PEARL REALTY from a founder-led to a partnership-led model, de-risking key person dependency and increasing enterprise value.</w:t>
      </w:r>
    </w:p>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3: MARKET ANALYSIS</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3.1 The Dubai Ultra-Prime Real Estate Market</w:t>
      </w:r>
    </w:p>
    <w:p>
      <w:pPr>
        <w:spacing w:before="60" w:after="80"/>
        <w:jc w:val="both"/>
      </w:pPr>
      <w:r>
        <w:rPr>
          <w:rFonts w:ascii="Arial" w:cs="Arial" w:eastAsia="Arial" w:hAnsi="Arial"/>
          <w:color w:val="3D3D3D"/>
          <w:sz w:val="22"/>
          <w:szCs w:val="22"/>
        </w:rPr>
        <w:t xml:space="preserve">Dubai's real estate market has undergone a structural transformation that distinguishes it sharply from prior speculative cycles. The 2023–2026 growth phase is driven by genuine wealth migration, not leverage or speculation.</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 Indicator</w:t>
            </w:r>
          </w:p>
        </w:tc>
        <w:tc>
          <w:tcPr>
            <w:tcW w:type="dxa" w:w="28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Point</w:t>
            </w:r>
          </w:p>
        </w:tc>
        <w:tc>
          <w:tcPr>
            <w:tcW w:type="dxa" w:w="32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Year</w:t>
            </w:r>
          </w:p>
        </w:tc>
      </w:tr>
      <w:tr>
        <w:tc>
          <w:tcPr>
            <w:tcW w:type="dxa" w:w="32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Dubai RE Transactions (2023)</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528B ($144B)</w:t>
            </w:r>
          </w:p>
        </w:tc>
        <w:tc>
          <w:tcPr>
            <w:tcW w:type="dxa" w:w="3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Land Department, 2024</w:t>
            </w:r>
          </w:p>
        </w:tc>
      </w:tr>
      <w:tr>
        <w:tc>
          <w:tcPr>
            <w:tcW w:type="dxa" w:w="3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Ultra-Prime Segment ($5M+) Growth</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+43% year-on-year (2022–2023)</w:t>
            </w:r>
          </w:p>
        </w:tc>
        <w:tc>
          <w:tcPr>
            <w:tcW w:type="dxa" w:w="3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Knight Frank Prime Report, 2024</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Family Offices in DIFC</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750+ registered (growing 22% YoY)</w:t>
            </w:r>
          </w:p>
        </w:tc>
        <w:tc>
          <w:tcPr>
            <w:tcW w:type="dxa" w:w="3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DIFC Authority, 2024</w:t>
            </w:r>
          </w:p>
        </w:tc>
      </w:tr>
      <w:tr>
        <w:tc>
          <w:tcPr>
            <w:tcW w:type="dxa" w:w="3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No. of $10M+ Dubai Transactions</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1,247 transactions (2023)</w:t>
            </w:r>
          </w:p>
        </w:tc>
        <w:tc>
          <w:tcPr>
            <w:tcW w:type="dxa" w:w="3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DLD / Property Monitor, 2024</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 Global Prime RE Ranking</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 international acquisition destination</w:t>
            </w:r>
          </w:p>
        </w:tc>
        <w:tc>
          <w:tcPr>
            <w:tcW w:type="dxa" w:w="3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Knight Frank Wealth Report, 2025</w:t>
            </w:r>
          </w:p>
        </w:tc>
      </w:tr>
      <w:tr>
        <w:tc>
          <w:tcPr>
            <w:tcW w:type="dxa" w:w="3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UHNWI Individuals Globally ($30M+)</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395,000 (28% 5-year growth projected)</w:t>
            </w:r>
          </w:p>
        </w:tc>
        <w:tc>
          <w:tcPr>
            <w:tcW w:type="dxa" w:w="3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Knight Frank Wealth Report, 2025</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UHNWIs Planning Dubai Purchase</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68% intend additional property (2 yrs)</w:t>
            </w:r>
          </w:p>
        </w:tc>
        <w:tc>
          <w:tcPr>
            <w:tcW w:type="dxa" w:w="3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Knight Frank Prime Survey, 2024</w:t>
            </w:r>
          </w:p>
        </w:tc>
      </w:tr>
      <w:tr>
        <w:tc>
          <w:tcPr>
            <w:tcW w:type="dxa" w:w="32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UAE Millionaire Migration Net Inflow</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+4,500 HNWIs in 2023</w:t>
            </w:r>
          </w:p>
        </w:tc>
        <w:tc>
          <w:tcPr>
            <w:tcW w:type="dxa" w:w="3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Henley &amp; Partners, 2024</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3.2 Target Market Sizing — The Addressable Opportunity</w:t>
      </w:r>
    </w:p>
    <w:p>
      <w:pPr>
        <w:spacing w:before="60" w:after="80"/>
        <w:jc w:val="both"/>
      </w:pPr>
      <w:r>
        <w:rPr>
          <w:rFonts w:ascii="Arial" w:cs="Arial" w:eastAsia="Arial" w:hAnsi="Arial"/>
          <w:color w:val="3D3D3D"/>
          <w:sz w:val="22"/>
          <w:szCs w:val="22"/>
        </w:rPr>
        <w:t xml:space="preserve">PEARL REALTY's Total Addressable Market (TAM), Serviceable Addressable Market (SAM), and Serviceable Obtainable Market (SOM) are defined precisely below:</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 Level</w:t>
            </w:r>
          </w:p>
        </w:tc>
        <w:tc>
          <w:tcPr>
            <w:tcW w:type="dxa" w:w="2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21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Revenue Potential</w:t>
            </w:r>
          </w:p>
        </w:tc>
      </w:tr>
      <w:tr>
        <w:tc>
          <w:tcPr>
            <w:tcW w:type="dxa" w:w="24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TAM — Total Addressable Market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All $5M+ Dubai RE transactions annually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~$14B–$18B / year</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~$210M–$360M advisory fees</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SAM — Serviceable Addressable Market</w:t>
            </w:r>
          </w:p>
        </w:tc>
        <w:tc>
          <w:tcPr>
            <w:tcW w:type="dxa" w:w="2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Off-market, UHNWI-led transactions &gt;$5M</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~$3B–$5B / year</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~$45M–$100M advisory fees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SOM — Serviceable Obtainable Market (Y3)</w:t>
            </w:r>
          </w:p>
        </w:tc>
        <w:tc>
          <w:tcPr>
            <w:tcW w:type="dxa" w:w="2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PEARL REALTY's realistic capture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~$840M–$1.1B / year</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$12.6M–$22.4M advisory fees</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SOM as % of SAM</w:t>
            </w:r>
          </w:p>
        </w:tc>
        <w:tc>
          <w:tcPr>
            <w:tcW w:type="dxa" w:w="2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Realistic market share at full scale</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~20%–35% of target segment</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Highly achievable given model</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3.3 Competitive Landscape — Named Competitors</w:t>
      </w:r>
    </w:p>
    <w:p>
      <w:pPr>
        <w:spacing w:before="60" w:after="80"/>
        <w:jc w:val="both"/>
      </w:pPr>
      <w:r>
        <w:rPr>
          <w:rFonts w:ascii="Arial" w:cs="Arial" w:eastAsia="Arial" w:hAnsi="Arial"/>
          <w:color w:val="3D3D3D"/>
          <w:sz w:val="22"/>
          <w:szCs w:val="22"/>
        </w:rPr>
        <w:t xml:space="preserve">A rigorous competitive analysis requires naming actual participants, not generic categories. The following represents the real competitive landscape PEARL REALTY operates within:</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240"/>
        <w:gridCol w:w="2440"/>
      </w:tblGrid>
      <w:tr>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Competitor</w:t>
            </w:r>
          </w:p>
        </w:tc>
        <w:tc>
          <w:tcPr>
            <w:tcW w:type="dxa" w:w="1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Dubai Presence</w:t>
            </w:r>
          </w:p>
        </w:tc>
        <w:tc>
          <w:tcPr>
            <w:tcW w:type="dxa" w:w="22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Weakness</w:t>
            </w:r>
          </w:p>
        </w:tc>
        <w:tc>
          <w:tcPr>
            <w:tcW w:type="dxa" w:w="2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PEARL REALTY Edge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Knight Frank Private Office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Global luxury advisory</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Established, large team</w:t>
            </w:r>
          </w:p>
        </w:tc>
        <w:tc>
          <w:tcPr>
            <w:tcW w:type="dxa" w:w="22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Scale kills personalisation; product-push culture</w:t>
            </w:r>
          </w:p>
        </w:tc>
        <w:tc>
          <w:tcPr>
            <w:tcW w:type="dxa" w:w="2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Founder-led, 100% mandate-aligned</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Savills Private Office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Global luxury advisory</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Established</w:t>
            </w:r>
          </w:p>
        </w:tc>
        <w:tc>
          <w:tcPr>
            <w:tcW w:type="dxa" w:w="22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Transaction volume targets conflict with client focus</w:t>
            </w:r>
          </w:p>
        </w:tc>
        <w:tc>
          <w:tcPr>
            <w:tcW w:type="dxa" w:w="2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Invitation-only; no volume targets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Christie's International RE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Luxury brand partner</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Limited (franchise)</w:t>
            </w:r>
          </w:p>
        </w:tc>
        <w:tc>
          <w:tcPr>
            <w:tcW w:type="dxa" w:w="22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Brand-led, not client-led; limited UAE depth</w:t>
            </w:r>
          </w:p>
        </w:tc>
        <w:tc>
          <w:tcPr>
            <w:tcW w:type="dxa" w:w="2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Deep UAE developer relationships</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Engel &amp; Völkers UAE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Premium brokerage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Strong, multi-office</w:t>
            </w:r>
          </w:p>
        </w:tc>
        <w:tc>
          <w:tcPr>
            <w:tcW w:type="dxa" w:w="22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Classic brokerage — commission-driven, public listings</w:t>
            </w:r>
          </w:p>
        </w:tc>
        <w:tc>
          <w:tcPr>
            <w:tcW w:type="dxa" w:w="2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Zero public listings; off-market only</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Driven Properties</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High-volume UAE broker</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Very strong</w:t>
            </w:r>
          </w:p>
        </w:tc>
        <w:tc>
          <w:tcPr>
            <w:tcW w:type="dxa" w:w="22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Volume model; no UHNWI private mandate capability</w:t>
            </w:r>
          </w:p>
        </w:tc>
        <w:tc>
          <w:tcPr>
            <w:tcW w:type="dxa" w:w="2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AI-augmented, bespoke, succession-focused</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Espace Real Estate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UAE premium broker</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Strong</w:t>
            </w:r>
          </w:p>
        </w:tc>
        <w:tc>
          <w:tcPr>
            <w:tcW w:type="dxa" w:w="22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Brokerage DNA — no strategic advisory depth</w:t>
            </w:r>
          </w:p>
        </w:tc>
        <w:tc>
          <w:tcPr>
            <w:tcW w:type="dxa" w:w="2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Legacy and succession expertise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Boutique Independents</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Individual agents</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Fragmented</w:t>
            </w:r>
          </w:p>
        </w:tc>
        <w:tc>
          <w:tcPr>
            <w:tcW w:type="dxa" w:w="22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No AI, no brand, no structured advisory process</w:t>
            </w:r>
          </w:p>
        </w:tc>
        <w:tc>
          <w:tcPr>
            <w:tcW w:type="dxa" w:w="2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Professional infrastructure + brand</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3.4 Target Client Segments — Detailed Profiles</w:t>
      </w:r>
    </w:p>
    <w:p>
      <w:pPr>
        <w:pStyle w:val="Heading3"/>
        <w:spacing w:before="200" w:after="80"/>
      </w:pPr>
      <w:r>
        <w:rPr>
          <w:rFonts w:ascii="Arial" w:cs="Arial" w:eastAsia="Arial" w:hAnsi="Arial"/>
          <w:b/>
          <w:bCs/>
          <w:color w:val="3D3D3D"/>
          <w:sz w:val="24"/>
          <w:szCs w:val="24"/>
        </w:rPr>
        <w:t xml:space="preserve">Primary Segment 1: Global Tech Founders &amp; Billionaires</w:t>
      </w:r>
    </w:p>
    <w:p>
      <w:pPr>
        <w:spacing w:before="60" w:after="80"/>
        <w:jc w:val="both"/>
      </w:pPr>
      <w:r>
        <w:rPr>
          <w:rFonts w:ascii="Arial" w:cs="Arial" w:eastAsia="Arial" w:hAnsi="Arial"/>
          <w:color w:val="3D3D3D"/>
          <w:sz w:val="22"/>
          <w:szCs w:val="22"/>
        </w:rPr>
        <w:t xml:space="preserve">Demographics: US, UK, India, Europe-based. Net worth $10M–$500M+. Age 35–60. Recently liquidity events or building wealth through listed equity.</w:t>
      </w:r>
    </w:p>
    <w:p>
      <w:pPr>
        <w:spacing w:before="60" w:after="80"/>
        <w:jc w:val="both"/>
      </w:pPr>
      <w:r>
        <w:rPr>
          <w:rFonts w:ascii="Arial" w:cs="Arial" w:eastAsia="Arial" w:hAnsi="Arial"/>
          <w:color w:val="3D3D3D"/>
          <w:sz w:val="22"/>
          <w:szCs w:val="22"/>
        </w:rPr>
        <w:t xml:space="preserve">Primary drivers: Tax optimisation (0% UAE income tax vs 45%+ in UK/India), physical relocation optionality, portfolio diversification into tangible assets, Golden Visa for global mobility.</w:t>
      </w:r>
    </w:p>
    <w:p>
      <w:pPr>
        <w:spacing w:before="60" w:after="80"/>
        <w:jc w:val="both"/>
      </w:pPr>
      <w:r>
        <w:rPr>
          <w:rFonts w:ascii="Arial" w:cs="Arial" w:eastAsia="Arial" w:hAnsi="Arial"/>
          <w:color w:val="3D3D3D"/>
          <w:sz w:val="22"/>
          <w:szCs w:val="22"/>
        </w:rPr>
        <w:t xml:space="preserve">Advisory need: Someone who understands both the real estate market AND their personal wealth structure. Not a broker. A strategist.</w:t>
      </w:r>
    </w:p>
    <w:p>
      <w:pPr>
        <w:pStyle w:val="Heading3"/>
        <w:spacing w:before="200" w:after="80"/>
      </w:pPr>
      <w:r>
        <w:rPr>
          <w:rFonts w:ascii="Arial" w:cs="Arial" w:eastAsia="Arial" w:hAnsi="Arial"/>
          <w:b/>
          <w:bCs/>
          <w:color w:val="3D3D3D"/>
          <w:sz w:val="24"/>
          <w:szCs w:val="24"/>
        </w:rPr>
        <w:t xml:space="preserve">Primary Segment 2: Family Office Principals &amp; Heirs</w:t>
      </w:r>
    </w:p>
    <w:p>
      <w:pPr>
        <w:spacing w:before="60" w:after="80"/>
        <w:jc w:val="both"/>
      </w:pPr>
      <w:r>
        <w:rPr>
          <w:rFonts w:ascii="Arial" w:cs="Arial" w:eastAsia="Arial" w:hAnsi="Arial"/>
          <w:color w:val="3D3D3D"/>
          <w:sz w:val="22"/>
          <w:szCs w:val="22"/>
        </w:rPr>
        <w:t xml:space="preserve">Demographics: Multi-generational families, $50M–$1B+ total assets under family management. Often manage through formal family office structures. Increasingly professional in governance.</w:t>
      </w:r>
    </w:p>
    <w:p>
      <w:pPr>
        <w:spacing w:before="60" w:after="80"/>
        <w:jc w:val="both"/>
      </w:pPr>
      <w:r>
        <w:rPr>
          <w:rFonts w:ascii="Arial" w:cs="Arial" w:eastAsia="Arial" w:hAnsi="Arial"/>
          <w:color w:val="3D3D3D"/>
          <w:sz w:val="22"/>
          <w:szCs w:val="22"/>
        </w:rPr>
        <w:t xml:space="preserve">Primary drivers: Asset class diversification into Dubai real estate; succession-proof ownership structures; yield generation alongside capital appreciation; heir-friendly asset selection.</w:t>
      </w:r>
    </w:p>
    <w:p>
      <w:pPr>
        <w:pStyle w:val="Heading3"/>
        <w:spacing w:before="200" w:after="80"/>
      </w:pPr>
      <w:r>
        <w:rPr>
          <w:rFonts w:ascii="Arial" w:cs="Arial" w:eastAsia="Arial" w:hAnsi="Arial"/>
          <w:b/>
          <w:bCs/>
          <w:color w:val="3D3D3D"/>
          <w:sz w:val="24"/>
          <w:szCs w:val="24"/>
        </w:rPr>
        <w:t xml:space="preserve">Primary Segment 3: GCC Royals &amp; Elite Families</w:t>
      </w:r>
    </w:p>
    <w:p>
      <w:pPr>
        <w:spacing w:before="60" w:after="80"/>
        <w:jc w:val="both"/>
      </w:pPr>
      <w:r>
        <w:rPr>
          <w:rFonts w:ascii="Arial" w:cs="Arial" w:eastAsia="Arial" w:hAnsi="Arial"/>
          <w:color w:val="3D3D3D"/>
          <w:sz w:val="22"/>
          <w:szCs w:val="22"/>
        </w:rPr>
        <w:t xml:space="preserve">Demographics: Saudi, Kuwaiti, Qatari, Bahraini, Omani elite. Often already own Dubai property. Looking for upgrade assets, discretion, and advisors with cultural intelligence.</w:t>
      </w:r>
    </w:p>
    <w:p>
      <w:pPr>
        <w:spacing w:before="60" w:after="80"/>
        <w:jc w:val="both"/>
      </w:pPr>
      <w:r>
        <w:rPr>
          <w:rFonts w:ascii="Arial" w:cs="Arial" w:eastAsia="Arial" w:hAnsi="Arial"/>
          <w:color w:val="3D3D3D"/>
          <w:sz w:val="22"/>
          <w:szCs w:val="22"/>
        </w:rPr>
        <w:t xml:space="preserve">Primary drivers: Privacy (zero public listings is non-negotiable); branded residences; proximity to UAE; Emirati developer relationships at the senior level.</w:t>
      </w:r>
    </w:p>
    <w:p>
      <w:pPr>
        <w:pStyle w:val="Heading3"/>
        <w:spacing w:before="200" w:after="80"/>
      </w:pPr>
      <w:r>
        <w:rPr>
          <w:rFonts w:ascii="Arial" w:cs="Arial" w:eastAsia="Arial" w:hAnsi="Arial"/>
          <w:b/>
          <w:bCs/>
          <w:color w:val="3D3D3D"/>
          <w:sz w:val="24"/>
          <w:szCs w:val="24"/>
        </w:rPr>
        <w:t xml:space="preserve">Influencer Segment: Private Bankers &amp; Wealth Advisors</w:t>
      </w:r>
    </w:p>
    <w:p>
      <w:pPr>
        <w:spacing w:before="60" w:after="80"/>
        <w:jc w:val="both"/>
      </w:pPr>
      <w:r>
        <w:rPr>
          <w:rFonts w:ascii="Arial" w:cs="Arial" w:eastAsia="Arial" w:hAnsi="Arial"/>
          <w:color w:val="3D3D3D"/>
          <w:sz w:val="22"/>
          <w:szCs w:val="22"/>
        </w:rPr>
        <w:t xml:space="preserve">These are the gatekeepers. A single strong private banking relationship manager at Credit Suisse, Julius Baer, or HSBC Private Bank can introduce 5–15 qualifying clients per year. Building 20+ such relationships is the highest-leverage activity in Year 1.</w:t>
      </w:r>
    </w:p>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4: VALUE PROPOSITION &amp; SERVICE MODEL</w:t>
      </w:r>
    </w:p>
    <w:p>
      <w:pPr>
        <w:spacing w:before="20" w:after="2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B8972A"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CORE STATEMENT</w:t>
            </w:r>
          </w:p>
        </w:tc>
        <w:tc>
          <w:tcPr>
            <w:tcW w:type="dxa" w:w="8940"/>
            <w:tcBorders>
              <w:top w:val="single" w:color="B8972A" w:sz="1"/>
              <w:left w:val="none" w:color="FFFFFF" w:sz="0"/>
              <w:bottom w:val="single" w:color="B8972A" w:sz="1"/>
              <w:right w:val="single" w:color="B8972A" w:sz="1"/>
            </w:tcBorders>
            <w:shd w:fill="F5F2EA" w:val="clear"/>
            <w:tcMar>
              <w:top w:type="dxa" w:w="100"/>
              <w:left w:type="dxa" w:w="160"/>
              <w:bottom w:type="dxa" w:w="100"/>
              <w:right w:type="dxa" w:w="140"/>
            </w:tcMar>
          </w:tcPr>
          <w:p>
            <w:r>
              <w:rPr>
                <w:rFonts w:ascii="Arial" w:cs="Arial" w:eastAsia="Arial" w:hAnsi="Arial"/>
                <w:i/>
                <w:iCs/>
                <w:color w:val="1A1A1A"/>
                <w:sz w:val="21"/>
                <w:szCs w:val="21"/>
              </w:rPr>
              <w:t xml:space="preserve">PEARL REALTY curates legacy-grade Dubai real estate for global families seeking jurisdictional security, tax efficiency, and generational wealth continuity. We do not sell properties. We build generational strategies — one family, one mandate, one legacy at a time.</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4.1 The Six Value Pillars</w:t>
      </w:r>
    </w:p>
    <w:p>
      <w:pPr>
        <w:pStyle w:val="Heading3"/>
        <w:spacing w:before="200" w:after="80"/>
      </w:pPr>
      <w:r>
        <w:rPr>
          <w:rFonts w:ascii="Arial" w:cs="Arial" w:eastAsia="Arial" w:hAnsi="Arial"/>
          <w:b/>
          <w:bCs/>
          <w:color w:val="3D3D3D"/>
          <w:sz w:val="24"/>
          <w:szCs w:val="24"/>
        </w:rPr>
        <w:t xml:space="preserve">Pillar 1 — Private Advisory, Not Brokerage</w:t>
      </w:r>
    </w:p>
    <w:p>
      <w:pPr>
        <w:spacing w:before="60" w:after="80"/>
        <w:jc w:val="both"/>
      </w:pPr>
      <w:r>
        <w:rPr>
          <w:rFonts w:ascii="Arial" w:cs="Arial" w:eastAsia="Arial" w:hAnsi="Arial"/>
          <w:color w:val="3D3D3D"/>
          <w:sz w:val="22"/>
          <w:szCs w:val="22"/>
        </w:rPr>
        <w:t xml:space="preserve">Every PEARL REALTY client receives a fiduciary-equivalent advisory relationship. We carry no developer inventory targets, no revenue quotas, and no obligation to any asset we haven't independently curated. Our success fee structure (1.5%–2%) means we earn only when the client transacts — and only when the client is satisfied the asset represents genuine value.</w:t>
      </w:r>
    </w:p>
    <w:p>
      <w:pPr>
        <w:pStyle w:val="Heading3"/>
        <w:spacing w:before="200" w:after="80"/>
      </w:pPr>
      <w:r>
        <w:rPr>
          <w:rFonts w:ascii="Arial" w:cs="Arial" w:eastAsia="Arial" w:hAnsi="Arial"/>
          <w:b/>
          <w:bCs/>
          <w:color w:val="3D3D3D"/>
          <w:sz w:val="24"/>
          <w:szCs w:val="24"/>
        </w:rPr>
        <w:t xml:space="preserve">Pillar 2 — Jurisdictional Advantage</w:t>
      </w:r>
    </w:p>
    <w:p>
      <w:pPr>
        <w:spacing w:before="60" w:after="80"/>
        <w:jc w:val="both"/>
      </w:pPr>
      <w:r>
        <w:rPr>
          <w:rFonts w:ascii="Arial" w:cs="Arial" w:eastAsia="Arial" w:hAnsi="Arial"/>
          <w:color w:val="3D3D3D"/>
          <w:sz w:val="22"/>
          <w:szCs w:val="22"/>
        </w:rPr>
        <w:t xml:space="preserve">The Dubai jurisdiction offers a package of benefits that no other global city currently matches: 0% personal income tax (vs 45% in UK, 42% in India's top bracket, 37% in the US); a 10-year renewable UAE Golden Visa granting full UAE residency rights; 100% foreign ownership in freehold zones; AED fully pegged to USD eliminating currency risk; and a politically stable, globally connected base for family operations and travel.</w:t>
      </w:r>
    </w:p>
    <w:p>
      <w:pPr>
        <w:pStyle w:val="Heading3"/>
        <w:spacing w:before="200" w:after="80"/>
      </w:pPr>
      <w:r>
        <w:rPr>
          <w:rFonts w:ascii="Arial" w:cs="Arial" w:eastAsia="Arial" w:hAnsi="Arial"/>
          <w:b/>
          <w:bCs/>
          <w:color w:val="3D3D3D"/>
          <w:sz w:val="24"/>
          <w:szCs w:val="24"/>
        </w:rPr>
        <w:t xml:space="preserve">Pillar 3 — Ultra-Prime Asset Curation</w:t>
      </w:r>
    </w:p>
    <w:p>
      <w:pPr>
        <w:spacing w:before="60" w:after="80"/>
        <w:jc w:val="both"/>
      </w:pPr>
      <w:r>
        <w:rPr>
          <w:rFonts w:ascii="Arial" w:cs="Arial" w:eastAsia="Arial" w:hAnsi="Arial"/>
          <w:color w:val="3D3D3D"/>
          <w:sz w:val="22"/>
          <w:szCs w:val="22"/>
        </w:rPr>
        <w:t xml:space="preserve">Access categories: (A) $5M–$35M waterfront and freehold villas — Palm Jumeirah, Jumeirah Bay Island, Emirates Hills; (B) $12M–$50M+ branded residences — Bulgari, Armani, Cavalli, Four Seasons — offering global brand equity and demonstrable scarcity premium; (C) $5M–$20M hospitality-hybrid units managed by leading hotel groups, generating yield when not in personal occupation.</w:t>
      </w:r>
    </w:p>
    <w:p>
      <w:pPr>
        <w:pStyle w:val="Heading3"/>
        <w:spacing w:before="200" w:after="80"/>
      </w:pPr>
      <w:r>
        <w:rPr>
          <w:rFonts w:ascii="Arial" w:cs="Arial" w:eastAsia="Arial" w:hAnsi="Arial"/>
          <w:b/>
          <w:bCs/>
          <w:color w:val="3D3D3D"/>
          <w:sz w:val="24"/>
          <w:szCs w:val="24"/>
        </w:rPr>
        <w:t xml:space="preserve">Pillar 4 — AI-Powered Client Experience</w:t>
      </w:r>
    </w:p>
    <w:p>
      <w:pPr>
        <w:spacing w:before="60" w:after="80"/>
        <w:jc w:val="both"/>
      </w:pPr>
      <w:r>
        <w:rPr>
          <w:rFonts w:ascii="Arial" w:cs="Arial" w:eastAsia="Arial" w:hAnsi="Arial"/>
          <w:color w:val="3D3D3D"/>
          <w:sz w:val="22"/>
          <w:szCs w:val="22"/>
        </w:rPr>
        <w:t xml:space="preserve">The AI infrastructure (Grok, Claude, Midjourney, RunwayML, Matterport, Clay) is deployed to create a client experience that is simultaneously more personalised and more efficient than any human-only advisory practice. Critically, AI is never client-facing without human oversight — it is a tool, not a relationship.</w:t>
      </w:r>
    </w:p>
    <w:p>
      <w:pPr>
        <w:pStyle w:val="Heading3"/>
        <w:spacing w:before="200" w:after="80"/>
      </w:pPr>
      <w:r>
        <w:rPr>
          <w:rFonts w:ascii="Arial" w:cs="Arial" w:eastAsia="Arial" w:hAnsi="Arial"/>
          <w:b/>
          <w:bCs/>
          <w:color w:val="3D3D3D"/>
          <w:sz w:val="24"/>
          <w:szCs w:val="24"/>
        </w:rPr>
        <w:t xml:space="preserve">Pillar 5 — Legal, Visa &amp; Structuring Coordination</w:t>
      </w:r>
    </w:p>
    <w:p>
      <w:pPr>
        <w:spacing w:before="60" w:after="80"/>
        <w:jc w:val="both"/>
      </w:pPr>
      <w:r>
        <w:rPr>
          <w:rFonts w:ascii="Arial" w:cs="Arial" w:eastAsia="Arial" w:hAnsi="Arial"/>
          <w:color w:val="3D3D3D"/>
          <w:sz w:val="22"/>
          <w:szCs w:val="22"/>
        </w:rPr>
        <w:t xml:space="preserve">PEARL REALTY coordinates — but does not provide — legal and tax advice. All legal, visa, and structuring work is executed by DIFC-registered law firms and certified Golden Visa processing specialists retained by PEARL REALTY under formal partnership agreements. The client receives a single-point-of-contact advisory experience while benefiting from best-in-class specialist execution.</w:t>
      </w:r>
    </w:p>
    <w:p>
      <w:pPr>
        <w:pStyle w:val="Heading3"/>
        <w:spacing w:before="200" w:after="80"/>
      </w:pPr>
      <w:r>
        <w:rPr>
          <w:rFonts w:ascii="Arial" w:cs="Arial" w:eastAsia="Arial" w:hAnsi="Arial"/>
          <w:b/>
          <w:bCs/>
          <w:color w:val="3D3D3D"/>
          <w:sz w:val="24"/>
          <w:szCs w:val="24"/>
        </w:rPr>
        <w:t xml:space="preserve">Pillar 6 — Legacy &amp; Succession Planning</w:t>
      </w:r>
    </w:p>
    <w:p>
      <w:pPr>
        <w:spacing w:before="60" w:after="80"/>
        <w:jc w:val="both"/>
      </w:pPr>
      <w:r>
        <w:rPr>
          <w:rFonts w:ascii="Arial" w:cs="Arial" w:eastAsia="Arial" w:hAnsi="Arial"/>
          <w:color w:val="3D3D3D"/>
          <w:sz w:val="22"/>
          <w:szCs w:val="22"/>
        </w:rPr>
        <w:t xml:space="preserve">Every asset recommendation includes a written Legacy Analysis: (i) ownership structure options (personal, corporate, trust); (ii) succession pathway for heirs; (iii) exit optionality analysis; (iv) estimated 10-year appreciation scenario. This document is produced for every client engagement and represents a genuine competitive differentiator.</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4.2 Service Tiers &amp; Pricing</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560"/>
        <w:gridCol w:w="2880"/>
        <w:gridCol w:w="2040"/>
      </w:tblGrid>
      <w:tr>
        <w:tc>
          <w:tcPr>
            <w:tcW w:type="dxa" w:w="1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16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15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Fee</w:t>
            </w:r>
          </w:p>
        </w:tc>
        <w:tc>
          <w:tcPr>
            <w:tcW w:type="dxa" w:w="28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Included</w:t>
            </w:r>
          </w:p>
        </w:tc>
        <w:tc>
          <w:tcPr>
            <w:tcW w:type="dxa" w:w="20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 Profile</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Signature</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Full advisory mandate</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1.5%–2% of transaction</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Asset sourcing, legal coord., visa, Legacy Analysis, post-sale concierge</w:t>
            </w:r>
          </w:p>
        </w:tc>
        <w:tc>
          <w:tcPr>
            <w:tcW w:type="dxa" w:w="20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UHNWI, $10M+ NW</w:t>
            </w:r>
          </w:p>
        </w:tc>
      </w:tr>
      <w:tr>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Family Office</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Ongoing retainer mandate</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100K–250K/yr + 1% on transactions</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Quarterly briefings, portfolio reviews, reinvestment planning, succession updates</w:t>
            </w:r>
          </w:p>
        </w:tc>
        <w:tc>
          <w:tcPr>
            <w:tcW w:type="dxa" w:w="20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Family offices</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Golden Visa</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Visa structuring only</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15K–35K fixed</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Application management, document coordination, approval tracking</w:t>
            </w:r>
          </w:p>
        </w:tc>
        <w:tc>
          <w:tcPr>
            <w:tcW w:type="dxa" w:w="20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All clients</w:t>
            </w:r>
          </w:p>
        </w:tc>
      </w:tr>
      <w:tr>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Portfolio Advisory</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Reinvestment planning</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0.5%–1% of reinvested capital</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Asset shortlisting, legacy analysis, legal coordination</w:t>
            </w:r>
          </w:p>
        </w:tc>
        <w:tc>
          <w:tcPr>
            <w:tcW w:type="dxa" w:w="20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Existing clients</w:t>
            </w:r>
          </w:p>
        </w:tc>
      </w:tr>
      <w:tr>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Referral Partnership</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Introducer programme</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0.3%–0.5% of transaction (disclosed)</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Warm introduction → PEARL REALTY handles all advisory</w:t>
            </w:r>
          </w:p>
        </w:tc>
        <w:tc>
          <w:tcPr>
            <w:tcW w:type="dxa" w:w="20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Private bankers, lawyers</w:t>
            </w:r>
          </w:p>
        </w:tc>
      </w:tr>
    </w:tbl>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5: OPERATIONS &amp; KEY ACTIVITIES</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5.1 The PEARL Five-Phase Operating Model</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1680"/>
        <w:gridCol w:w="2400"/>
        <w:gridCol w:w="1840"/>
      </w:tblGrid>
      <w:tr>
        <w:tc>
          <w:tcPr>
            <w:tcW w:type="dxa" w:w="1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16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Tools</w:t>
            </w:r>
          </w:p>
        </w:tc>
        <w:tc>
          <w:tcPr>
            <w:tcW w:type="dxa" w:w="2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Measurable Output</w:t>
            </w:r>
          </w:p>
        </w:tc>
        <w:tc>
          <w:tcPr>
            <w:tcW w:type="dxa" w:w="18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01 — ORIGINATE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Source off-market assets; AI-score UHNWI leads</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Clay, Grok, Perplexity, LinkedIn SN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Qualified asset inventory + 50 scored prospects/month</w:t>
            </w:r>
          </w:p>
        </w:tc>
        <w:tc>
          <w:tcPr>
            <w:tcW w:type="dxa" w:w="18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Ongoing</w:t>
            </w:r>
          </w:p>
        </w:tc>
      </w:tr>
      <w:tr>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02 — ENGAGE</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Hyper-personalised 1:1 outreach; bespoke asset narratives</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Midjourney, Gamma, WhatsApp API, Private microsites</w:t>
            </w:r>
          </w:p>
        </w:tc>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8–12% prospect-to-meeting conversion rate</w:t>
            </w:r>
          </w:p>
        </w:tc>
        <w:tc>
          <w:tcPr>
            <w:tcW w:type="dxa" w:w="18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30–45 days</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03 — IMMERSE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Private briefings, VR tours, site visits</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RunwayML, Matterport, Loom</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 of meetings progress to mandate discussion</w:t>
            </w:r>
          </w:p>
        </w:tc>
        <w:tc>
          <w:tcPr>
            <w:tcW w:type="dxa" w:w="18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14–30 days</w:t>
            </w:r>
          </w:p>
        </w:tc>
      </w:tr>
      <w:tr>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04 — STRUCTURE</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visa, ownership structuring coordination</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HubSpot, Legal partners, DLD portal</w:t>
            </w:r>
          </w:p>
        </w:tc>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Signed mandate + transaction executed</w:t>
            </w:r>
          </w:p>
        </w:tc>
        <w:tc>
          <w:tcPr>
            <w:tcW w:type="dxa" w:w="18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45–90 days</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05 — RETAIN</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Post-sale concierge, portfolio planning, succession</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HubSpot, WhatsApp, human RMs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 retention rate; 40%+ repeat mandate within 24 months</w:t>
            </w:r>
          </w:p>
        </w:tc>
        <w:tc>
          <w:tcPr>
            <w:tcW w:type="dxa" w:w="18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Ongoing</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5.2 Technology &amp; AI Stack — With Cost Estimates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60"/>
        <w:gridCol w:w="3500"/>
      </w:tblGrid>
      <w:tr>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18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Cost (Est.)</w:t>
            </w:r>
          </w:p>
        </w:tc>
        <w:tc>
          <w:tcPr>
            <w:tcW w:type="dxa" w:w="35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Risk / Mitigation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Grok (xAI)</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Lead intelligence &amp; prospect analysis</w:t>
            </w:r>
          </w:p>
        </w:tc>
        <w:tc>
          <w:tcPr>
            <w:tcW w:type="dxa" w:w="18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$300–$500</w:t>
            </w:r>
          </w:p>
        </w:tc>
        <w:tc>
          <w:tcPr>
            <w:tcW w:type="dxa" w:w="3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Service change risk — secondary: Claude for overlap</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Claude (Anthropic)</w:t>
            </w:r>
          </w:p>
        </w:tc>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Advisory automation, content, personalisation</w:t>
            </w:r>
          </w:p>
        </w:tc>
        <w:tc>
          <w:tcPr>
            <w:tcW w:type="dxa" w:w="18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$200–$400</w:t>
            </w:r>
          </w:p>
        </w:tc>
        <w:tc>
          <w:tcPr>
            <w:tcW w:type="dxa" w:w="35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 risk — multiple LLM alternatives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Perplexity API</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Real-time market research</w:t>
            </w:r>
          </w:p>
        </w:tc>
        <w:tc>
          <w:tcPr>
            <w:tcW w:type="dxa" w:w="18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$100–$200</w:t>
            </w:r>
          </w:p>
        </w:tc>
        <w:tc>
          <w:tcPr>
            <w:tcW w:type="dxa" w:w="3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 risk — alternatives include Bing API</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Clay</w:t>
            </w:r>
          </w:p>
        </w:tc>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Prospect data enrichment at scale</w:t>
            </w:r>
          </w:p>
        </w:tc>
        <w:tc>
          <w:tcPr>
            <w:tcW w:type="dxa" w:w="18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$800–$1,500</w:t>
            </w:r>
          </w:p>
        </w:tc>
        <w:tc>
          <w:tcPr>
            <w:tcW w:type="dxa" w:w="35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Pricing model risk — mitigate with annual contract</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LinkedIn Sales Navigator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UHNWI identification &amp; network mapping</w:t>
            </w:r>
          </w:p>
        </w:tc>
        <w:tc>
          <w:tcPr>
            <w:tcW w:type="dxa" w:w="18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$900–$1,200</w:t>
            </w:r>
          </w:p>
        </w:tc>
        <w:tc>
          <w:tcPr>
            <w:tcW w:type="dxa" w:w="3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Platform policy risk — mitigate with email outreach backup</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Midjourney + RunwayML</w:t>
            </w:r>
          </w:p>
        </w:tc>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Asset visualisation &amp; VR tours</w:t>
            </w:r>
          </w:p>
        </w:tc>
        <w:tc>
          <w:tcPr>
            <w:tcW w:type="dxa" w:w="18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$200–$600</w:t>
            </w:r>
          </w:p>
        </w:tc>
        <w:tc>
          <w:tcPr>
            <w:tcW w:type="dxa" w:w="35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Quality dependency — maintain human review of all outputs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Matterport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3D property walkthroughs</w:t>
            </w:r>
          </w:p>
        </w:tc>
        <w:tc>
          <w:tcPr>
            <w:tcW w:type="dxa" w:w="18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$500–$1,500 per property</w:t>
            </w:r>
          </w:p>
        </w:tc>
        <w:tc>
          <w:tcPr>
            <w:tcW w:type="dxa" w:w="3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Project cost, not ongoing — budget per transaction</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HubSpot CRM (Enterprise)</w:t>
            </w:r>
          </w:p>
        </w:tc>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Pipeline management &amp; client CRM</w:t>
            </w:r>
          </w:p>
        </w:tc>
        <w:tc>
          <w:tcPr>
            <w:tcW w:type="dxa" w:w="18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$1,200–$1,800</w:t>
            </w:r>
          </w:p>
        </w:tc>
        <w:tc>
          <w:tcPr>
            <w:tcW w:type="dxa" w:w="35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Data portability essential — quarterly export protocols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ManyChat + WhatsApp API</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 communication automation</w:t>
            </w:r>
          </w:p>
        </w:tc>
        <w:tc>
          <w:tcPr>
            <w:tcW w:type="dxa" w:w="18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$300–$600</w:t>
            </w:r>
          </w:p>
        </w:tc>
        <w:tc>
          <w:tcPr>
            <w:tcW w:type="dxa" w:w="3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WhatsApp ToS risk — maintain email as primary channel</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Zapier + Gamma + Loom</w:t>
            </w:r>
          </w:p>
        </w:tc>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Workflow automation, pitch decks, video</w:t>
            </w:r>
          </w:p>
        </w:tc>
        <w:tc>
          <w:tcPr>
            <w:tcW w:type="dxa" w:w="18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$300–$500</w:t>
            </w:r>
          </w:p>
        </w:tc>
        <w:tc>
          <w:tcPr>
            <w:tcW w:type="dxa" w:w="35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 risk — commodity tools</w:t>
            </w:r>
          </w:p>
        </w:tc>
      </w:tr>
      <w:tr>
        <w:tc>
          <w:tcPr>
            <w:tcW w:type="dxa" w:w="18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TECH SPEND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18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$4,800–$8,800/month</w:t>
            </w:r>
          </w:p>
        </w:tc>
        <w:tc>
          <w:tcPr>
            <w:tcW w:type="dxa" w:w="3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$58K–$106K annually — within $80K budget</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5.3 Team Structure &amp; Hiring Plan</w:t>
      </w:r>
    </w:p>
    <w:p>
      <w:pPr>
        <w:spacing w:before="60" w:after="80"/>
        <w:jc w:val="both"/>
      </w:pPr>
      <w:r>
        <w:rPr>
          <w:rFonts w:ascii="Arial" w:cs="Arial" w:eastAsia="Arial" w:hAnsi="Arial"/>
          <w:color w:val="3D3D3D"/>
          <w:sz w:val="22"/>
          <w:szCs w:val="22"/>
        </w:rPr>
        <w:t xml:space="preserve">PEARL REALTY launches as a lean 3-person operation and scales deliberately. Every hire is made only when client volume justifies it — never speculatively.</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1800"/>
        <w:gridCol w:w="2660"/>
      </w:tblGrid>
      <w:tr>
        <w:tc>
          <w:tcPr>
            <w:tcW w:type="dxa" w:w="2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9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9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9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Cost (Y1)</w:t>
            </w:r>
          </w:p>
        </w:tc>
        <w:tc>
          <w:tcPr>
            <w:tcW w:type="dxa" w:w="26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Recruitment Source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 / Principal Advisor</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 (Raghunath)</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$120K (founder draw)</w:t>
            </w:r>
          </w:p>
        </w:tc>
        <w:tc>
          <w:tcPr>
            <w:tcW w:type="dxa" w:w="2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N/A</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 &amp; Operations Manager</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 (full-time)</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$60K–$80K</w:t>
            </w:r>
          </w:p>
        </w:tc>
        <w:tc>
          <w:tcPr>
            <w:tcW w:type="dxa" w:w="26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Tech/ops background, Dubai-based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Senior Private Advisor</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2–3</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4–5</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Ex-private bank, luxury RE background</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Legal/Visa Coordinator</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 (contracted)</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 (contracted)</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 (contracted)</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$40K–$60K contracted</w:t>
            </w:r>
          </w:p>
        </w:tc>
        <w:tc>
          <w:tcPr>
            <w:tcW w:type="dxa" w:w="26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DIFC law firm partner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Relationship Manager (GCC)</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t>
            </w:r>
          </w:p>
        </w:tc>
        <w:tc>
          <w:tcPr>
            <w:tcW w:type="dxa" w:w="2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GCC-native, existing UHNWI network</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Relationship Manager (India/UK)</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t>
            </w:r>
          </w:p>
        </w:tc>
        <w:tc>
          <w:tcPr>
            <w:tcW w:type="dxa" w:w="26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Prior private banking or wealth management</w:t>
            </w:r>
          </w:p>
        </w:tc>
      </w:tr>
      <w:tr>
        <w:tc>
          <w:tcPr>
            <w:tcW w:type="dxa" w:w="22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HEADCOUNT</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5–7</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10–13</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$220K–$260K</w:t>
            </w:r>
          </w:p>
        </w:tc>
        <w:tc>
          <w:tcPr>
            <w:tcW w:type="dxa" w:w="26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r>
      <w:tr>
        <w:tc>
          <w:tcPr>
            <w:tcW w:type="dxa" w:w="22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PEOPLE COST</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$220K–$260K</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$600K–$800K</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$1.1M–$1.4M</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6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r>
    </w:tbl>
    <w:p>
      <w:pPr>
        <w:spacing w:before="40" w:after="40"/>
      </w:pPr>
      <w:r>
        <w:rPr>
          <w:rFonts w:ascii="Arial" w:cs="Arial" w:eastAsia="Arial" w:hAnsi="Arial"/>
          <w:color w:val="3D3D3D"/>
          <w:sz w:val="22"/>
          <w:szCs w:val="22"/>
        </w:rPr>
        <w:t xml:space="preserve"/>
      </w:r>
    </w:p>
    <w:p>
      <w:pPr>
        <w:spacing w:before="60" w:after="80"/>
        <w:jc w:val="both"/>
      </w:pPr>
      <w:r>
        <w:rPr>
          <w:rFonts w:ascii="Arial" w:cs="Arial" w:eastAsia="Arial" w:hAnsi="Arial"/>
          <w:color w:val="3D3D3D"/>
          <w:sz w:val="22"/>
          <w:szCs w:val="22"/>
        </w:rPr>
        <w:t xml:space="preserve">Compensation structure: Senior Private Advisors are compensated 40% base / 60% success-fee share. This ensures alignment, manages fixed cost risk, and attracts self-motivated high performers. The founder retains 100% equity in Year 1; equity incentives for senior hires are evaluated in Year 2 with a formal ESOP structure.</w:t>
      </w:r>
    </w:p>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6: CHANNELS, CUSTOMER ACQUISITION &amp; RELATIONSHIPS</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6.1 Customer Acquisition Cost (CAC) Analysis</w:t>
      </w:r>
    </w:p>
    <w:p>
      <w:pPr>
        <w:spacing w:before="60" w:after="80"/>
        <w:jc w:val="both"/>
      </w:pPr>
      <w:r>
        <w:rPr>
          <w:rFonts w:ascii="Arial" w:cs="Arial" w:eastAsia="Arial" w:hAnsi="Arial"/>
          <w:color w:val="3D3D3D"/>
          <w:sz w:val="22"/>
          <w:szCs w:val="22"/>
        </w:rPr>
        <w:t xml:space="preserve">The single most important — and most often omitted — metric in a UHNWI advisory business plan is Client Acquisition Cost. PEARL REALTY has modelled this explicitly:</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1560"/>
        <w:gridCol w:w="2600"/>
      </w:tblGrid>
      <w:tr>
        <w:tc>
          <w:tcPr>
            <w:tcW w:type="dxa" w:w="31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CAC Component</w:t>
            </w:r>
          </w:p>
        </w:tc>
        <w:tc>
          <w:tcPr>
            <w:tcW w:type="dxa" w:w="20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 Cost</w:t>
            </w:r>
          </w:p>
        </w:tc>
        <w:tc>
          <w:tcPr>
            <w:tcW w:type="dxa" w:w="15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Deals Closed</w:t>
            </w:r>
          </w:p>
        </w:tc>
        <w:tc>
          <w:tcPr>
            <w:tcW w:type="dxa" w:w="26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CAC Per Deal</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 time (opportunity cost)</w:t>
            </w:r>
          </w:p>
        </w:tc>
        <w:tc>
          <w:tcPr>
            <w:tcW w:type="dxa" w:w="20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 (base)</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$12,000</w:t>
            </w:r>
          </w:p>
        </w:tc>
      </w:tr>
      <w:tr>
        <w:tc>
          <w:tcPr>
            <w:tcW w:type="dxa" w:w="3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Events &amp; conference attendance</w:t>
            </w:r>
          </w:p>
        </w:tc>
        <w:tc>
          <w:tcPr>
            <w:tcW w:type="dxa" w:w="20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w:t>
            </w:r>
          </w:p>
        </w:tc>
        <w:tc>
          <w:tcPr>
            <w:tcW w:type="dxa" w:w="2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$8,000</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 outreach tools (allocated)</w:t>
            </w:r>
          </w:p>
        </w:tc>
        <w:tc>
          <w:tcPr>
            <w:tcW w:type="dxa" w:w="20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$6,000</w:t>
            </w:r>
          </w:p>
        </w:tc>
      </w:tr>
      <w:tr>
        <w:tc>
          <w:tcPr>
            <w:tcW w:type="dxa" w:w="3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Travel &amp; client entertainment</w:t>
            </w:r>
          </w:p>
        </w:tc>
        <w:tc>
          <w:tcPr>
            <w:tcW w:type="dxa" w:w="20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w:t>
            </w:r>
          </w:p>
        </w:tc>
        <w:tc>
          <w:tcPr>
            <w:tcW w:type="dxa" w:w="2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$6,000</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Brand / content / collateral</w:t>
            </w:r>
          </w:p>
        </w:tc>
        <w:tc>
          <w:tcPr>
            <w:tcW w:type="dxa" w:w="20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w:t>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$6,000</w:t>
            </w:r>
          </w:p>
        </w:tc>
      </w:tr>
      <w:tr>
        <w:tc>
          <w:tcPr>
            <w:tcW w:type="dxa" w:w="312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CAC (Base Case, Year 1)</w:t>
            </w:r>
          </w:p>
        </w:tc>
        <w:tc>
          <w:tcPr>
            <w:tcW w:type="dxa" w:w="20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$380K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 deals</w:t>
            </w:r>
          </w:p>
        </w:tc>
        <w:tc>
          <w:tcPr>
            <w:tcW w:type="dxa" w:w="2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$38,000 per deal</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Average Advisory Fee per Deal (Base)</w:t>
            </w:r>
          </w:p>
        </w:tc>
        <w:tc>
          <w:tcPr>
            <w:tcW w:type="dxa" w:w="20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$128,000</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r>
      <w:tr>
        <w:tc>
          <w:tcPr>
            <w:tcW w:type="dxa" w:w="3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CAC as % of Revenue</w:t>
            </w:r>
          </w:p>
        </w:tc>
        <w:tc>
          <w:tcPr>
            <w:tcW w:type="dxa" w:w="20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Declines to ~8% by Year 3</w:t>
            </w:r>
          </w:p>
        </w:tc>
      </w:tr>
    </w:tbl>
    <w:p>
      <w:pPr>
        <w:spacing w:before="40" w:after="40"/>
      </w:pPr>
      <w:r>
        <w:rPr>
          <w:rFonts w:ascii="Arial" w:cs="Arial" w:eastAsia="Arial" w:hAnsi="Arial"/>
          <w:color w:val="3D3D3D"/>
          <w:sz w:val="22"/>
          <w:szCs w:val="22"/>
        </w:rPr>
        <w:t xml:space="preserve"/>
      </w:r>
    </w:p>
    <w:p>
      <w:pPr>
        <w:spacing w:before="60" w:after="80"/>
        <w:jc w:val="both"/>
      </w:pPr>
      <w:r>
        <w:rPr>
          <w:rFonts w:ascii="Arial" w:cs="Arial" w:eastAsia="Arial" w:hAnsi="Arial"/>
          <w:color w:val="3D3D3D"/>
          <w:sz w:val="22"/>
          <w:szCs w:val="22"/>
        </w:rPr>
        <w:t xml:space="preserve">By Year 3, the CAC declines to approximately $28K per deal (scale efficiencies) against an average advisory fee of $210K, producing a CAC:LTV ratio that is exceptionally strong for a professional services business.</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6.2 Channel Architecture</w:t>
      </w:r>
    </w:p>
    <w:p>
      <w:pPr>
        <w:spacing w:before="40" w:after="40"/>
      </w:pPr>
      <w:r>
        <w:rPr>
          <w:rFonts w:ascii="Arial" w:cs="Arial" w:eastAsia="Arial" w:hAnsi="Arial"/>
          <w:color w:val="3D3D3D"/>
          <w:sz w:val="22"/>
          <w:szCs w:val="22"/>
        </w:rP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2960"/>
      </w:tblGrid>
      <w:tr>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Channel</w:t>
            </w:r>
          </w:p>
        </w:tc>
        <w:tc>
          <w:tcPr>
            <w:tcW w:type="dxa" w:w="21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Y1 Target</w:t>
            </w:r>
          </w:p>
        </w:tc>
        <w:tc>
          <w:tcPr>
            <w:tcW w:type="dxa" w:w="29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1 — High Trust</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Founder's existing personal network</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First 5 transactions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 signed mandates in 90 days</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1 — High Trust</w:t>
            </w:r>
          </w:p>
        </w:tc>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Private banker / advisor referrals</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3–5 introductions/month</w:t>
            </w:r>
          </w:p>
        </w:tc>
        <w:tc>
          <w:tcPr>
            <w:tcW w:type="dxa" w:w="29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15–20 active referral partners by Q4</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2 — Authority</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Wealth conferences (Davos, SALT, SuperReturn)</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 events attended</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 qualified connections per event</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2 — Authority</w:t>
            </w:r>
          </w:p>
        </w:tc>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Private dinner events (Dubai-hosted, founder-led)</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 events per quarter</w:t>
            </w:r>
          </w:p>
        </w:tc>
        <w:tc>
          <w:tcPr>
            <w:tcW w:type="dxa" w:w="29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 qualified guests per event</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3 — Systematic</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AI-powered outbound (Clay + LinkedIn SN + WhatsApp)</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 outreach sequences/month</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8–12% meeting conversion</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3 — Systematic</w:t>
            </w:r>
          </w:p>
        </w:tc>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Private microsites + personalised Loom video</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 per active prospect</w:t>
            </w:r>
          </w:p>
        </w:tc>
        <w:tc>
          <w:tcPr>
            <w:tcW w:type="dxa" w:w="29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 microsite engagement rate</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Tier 4 — Presence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Yacht shows, art fairs, exclusive events</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 events per year</w:t>
            </w:r>
          </w:p>
        </w:tc>
        <w:tc>
          <w:tcPr>
            <w:tcW w:type="dxa" w:w="29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Brand reinforcement; 2+ introductions/event</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6.3 Client Retention Strategy</w:t>
      </w:r>
    </w:p>
    <w:p>
      <w:pPr>
        <w:spacing w:before="60" w:after="80"/>
        <w:jc w:val="both"/>
      </w:pPr>
      <w:r>
        <w:rPr>
          <w:rFonts w:ascii="Arial" w:cs="Arial" w:eastAsia="Arial" w:hAnsi="Arial"/>
          <w:color w:val="3D3D3D"/>
          <w:sz w:val="22"/>
          <w:szCs w:val="22"/>
        </w:rPr>
        <w:t xml:space="preserve">In UHNWI advisory, the most valuable transaction is always the second one. A retained client with $50M+ in assets is worth $750K–$1M in advisory fees over a 5-year period. The following retention architecture is built into every engagement from day one:</w:t>
      </w:r>
    </w:p>
    <w:p>
      <w:pPr>
        <w:pStyle w:val="ListParagraph"/>
        <w:numPr>
          <w:ilvl w:val="0"/>
          <w:numId w:val="2"/>
        </w:numPr>
        <w:spacing w:before="40" w:after="60"/>
      </w:pPr>
      <w:r>
        <w:rPr>
          <w:rFonts w:ascii="Arial" w:cs="Arial" w:eastAsia="Arial" w:hAnsi="Arial"/>
          <w:b/>
          <w:bCs/>
          <w:color w:val="1A1A1A"/>
          <w:sz w:val="22"/>
          <w:szCs w:val="22"/>
        </w:rPr>
        <w:t xml:space="preserve">Quarterly Portfolio Review:  </w:t>
      </w:r>
      <w:r>
        <w:rPr>
          <w:rFonts w:ascii="Arial" w:cs="Arial" w:eastAsia="Arial" w:hAnsi="Arial"/>
          <w:color w:val="3D3D3D"/>
          <w:sz w:val="22"/>
          <w:szCs w:val="22"/>
        </w:rPr>
        <w:t xml:space="preserve">Every active client receives a written Dubai market intelligence report with specific relevance to their portfolio, delivered by the principal advisor personally.</w:t>
      </w:r>
    </w:p>
    <w:p>
      <w:pPr>
        <w:pStyle w:val="ListParagraph"/>
        <w:numPr>
          <w:ilvl w:val="0"/>
          <w:numId w:val="2"/>
        </w:numPr>
        <w:spacing w:before="40" w:after="60"/>
      </w:pPr>
      <w:r>
        <w:rPr>
          <w:rFonts w:ascii="Arial" w:cs="Arial" w:eastAsia="Arial" w:hAnsi="Arial"/>
          <w:b/>
          <w:bCs/>
          <w:color w:val="1A1A1A"/>
          <w:sz w:val="22"/>
          <w:szCs w:val="22"/>
        </w:rPr>
        <w:t xml:space="preserve">Legacy Analysis Updates:  </w:t>
      </w:r>
      <w:r>
        <w:rPr>
          <w:rFonts w:ascii="Arial" w:cs="Arial" w:eastAsia="Arial" w:hAnsi="Arial"/>
          <w:color w:val="3D3D3D"/>
          <w:sz w:val="22"/>
          <w:szCs w:val="22"/>
        </w:rPr>
        <w:t xml:space="preserve">Annual review of each client's legacy framework — ownership structure, succession plan, exit scenario — with proactive recommendations as market or regulatory conditions change.</w:t>
      </w:r>
    </w:p>
    <w:p>
      <w:pPr>
        <w:pStyle w:val="ListParagraph"/>
        <w:numPr>
          <w:ilvl w:val="0"/>
          <w:numId w:val="2"/>
        </w:numPr>
        <w:spacing w:before="40" w:after="60"/>
      </w:pPr>
      <w:r>
        <w:rPr>
          <w:rFonts w:ascii="Arial" w:cs="Arial" w:eastAsia="Arial" w:hAnsi="Arial"/>
          <w:b/>
          <w:bCs/>
          <w:color w:val="1A1A1A"/>
          <w:sz w:val="22"/>
          <w:szCs w:val="22"/>
        </w:rPr>
        <w:t xml:space="preserve">Golden Visa Renewal Management:  </w:t>
      </w:r>
      <w:r>
        <w:rPr>
          <w:rFonts w:ascii="Arial" w:cs="Arial" w:eastAsia="Arial" w:hAnsi="Arial"/>
          <w:color w:val="3D3D3D"/>
          <w:sz w:val="22"/>
          <w:szCs w:val="22"/>
        </w:rPr>
        <w:t xml:space="preserve">10-year Golden Visa renewals are proactively managed with 18-month advance notice. This creates a structured re-engagement touchpoint regardless of transaction activity.</w:t>
      </w:r>
    </w:p>
    <w:p>
      <w:pPr>
        <w:pStyle w:val="ListParagraph"/>
        <w:numPr>
          <w:ilvl w:val="0"/>
          <w:numId w:val="2"/>
        </w:numPr>
        <w:spacing w:before="40" w:after="60"/>
      </w:pPr>
      <w:r>
        <w:rPr>
          <w:rFonts w:ascii="Arial" w:cs="Arial" w:eastAsia="Arial" w:hAnsi="Arial"/>
          <w:b/>
          <w:bCs/>
          <w:color w:val="1A1A1A"/>
          <w:sz w:val="22"/>
          <w:szCs w:val="22"/>
        </w:rPr>
        <w:t xml:space="preserve">Exclusive New Inventory Alerts:  </w:t>
      </w:r>
      <w:r>
        <w:rPr>
          <w:rFonts w:ascii="Arial" w:cs="Arial" w:eastAsia="Arial" w:hAnsi="Arial"/>
          <w:color w:val="3D3D3D"/>
          <w:sz w:val="22"/>
          <w:szCs w:val="22"/>
        </w:rPr>
        <w:t xml:space="preserve">Active clients receive 72-hour advance notice on any new off-market asset that matches their acquisition criteria. No other party is notified.</w:t>
      </w:r>
    </w:p>
    <w:p>
      <w:pPr>
        <w:pStyle w:val="ListParagraph"/>
        <w:numPr>
          <w:ilvl w:val="0"/>
          <w:numId w:val="2"/>
        </w:numPr>
        <w:spacing w:before="40" w:after="60"/>
      </w:pPr>
      <w:r>
        <w:rPr>
          <w:rFonts w:ascii="Arial" w:cs="Arial" w:eastAsia="Arial" w:hAnsi="Arial"/>
          <w:b/>
          <w:bCs/>
          <w:color w:val="1A1A1A"/>
          <w:sz w:val="22"/>
          <w:szCs w:val="22"/>
        </w:rPr>
        <w:t xml:space="preserve">Family Events &amp; Private Experiences:  </w:t>
      </w:r>
      <w:r>
        <w:rPr>
          <w:rFonts w:ascii="Arial" w:cs="Arial" w:eastAsia="Arial" w:hAnsi="Arial"/>
          <w:color w:val="3D3D3D"/>
          <w:sz w:val="22"/>
          <w:szCs w:val="22"/>
        </w:rPr>
        <w:t xml:space="preserve">Annual private events for clients in Dubai — exclusive developer previews, private yacht gatherings, or private art viewings — reinforce the relationship beyond the transactional.</w:t>
      </w:r>
    </w:p>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7: FINANCIAL PLAN</w:t>
      </w:r>
    </w:p>
    <w:p>
      <w:pPr>
        <w:spacing w:before="20" w:after="2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FF5F5" w:val="clear"/>
            <w:tcMar>
              <w:top w:type="dxa" w:w="120"/>
              <w:left w:type="dxa" w:w="180"/>
              <w:bottom w:type="dxa" w:w="120"/>
              <w:right w:type="dxa" w:w="160"/>
            </w:tcMar>
          </w:tcPr>
          <w:p>
            <w:r>
              <w:rPr>
                <w:rFonts w:ascii="Arial" w:cs="Arial" w:eastAsia="Arial" w:hAnsi="Arial"/>
                <w:color w:val="8B1A1A"/>
                <w:sz w:val="20"/>
                <w:szCs w:val="20"/>
              </w:rPr>
              <w:t xml:space="preserve">NOTE: All financial projections represent estimates derived from comparable advisory businesses, Dubai market data, and the founder's assessment of pipeline. They are not guarantees. Investors must conduct independent due diligence. See Section 7.4 for Bear, Base, and Bull case scenarios.</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7.1 Revenue Model</w:t>
      </w:r>
    </w:p>
    <w:p>
      <w:pPr>
        <w:spacing w:before="60" w:after="80"/>
        <w:jc w:val="both"/>
      </w:pPr>
      <w:r>
        <w:rPr>
          <w:rFonts w:ascii="Arial" w:cs="Arial" w:eastAsia="Arial" w:hAnsi="Arial"/>
          <w:color w:val="3D3D3D"/>
          <w:sz w:val="22"/>
          <w:szCs w:val="22"/>
        </w:rPr>
        <w:t xml:space="preserve">PEARL REALTY's revenue model is deliberately simple, transparent, and success-aligned. The primary revenue stream is a 1.5%–2% advisory fee on completed transactions, creating zero conflict of interest between advisor and client.</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280"/>
        <w:gridCol w:w="2280"/>
      </w:tblGrid>
      <w:tr>
        <w:tc>
          <w:tcPr>
            <w:tcW w:type="dxa" w:w="2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Stream</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Timing</w:t>
            </w:r>
          </w:p>
        </w:tc>
        <w:tc>
          <w:tcPr>
            <w:tcW w:type="dxa" w:w="12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Y1 Share</w:t>
            </w:r>
          </w:p>
        </w:tc>
        <w:tc>
          <w:tcPr>
            <w:tcW w:type="dxa" w:w="22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Y3 Share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Advisory Fee — Buyer-paid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1.5%–2% of transaction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 completion</w:t>
            </w:r>
          </w:p>
        </w:tc>
        <w:tc>
          <w:tcPr>
            <w:tcW w:type="dxa" w:w="1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55%</w:t>
            </w:r>
          </w:p>
        </w:tc>
        <w:tc>
          <w:tcPr>
            <w:tcW w:type="dxa" w:w="2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45%</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Advisory Fee — Developer-paid</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1%–1.5% of transaction</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 completion</w:t>
            </w:r>
          </w:p>
        </w:tc>
        <w:tc>
          <w:tcPr>
            <w:tcW w:type="dxa" w:w="1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w:t>
            </w:r>
          </w:p>
        </w:tc>
        <w:tc>
          <w:tcPr>
            <w:tcW w:type="dxa" w:w="2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25%</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Advisory Fee — Hybrid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Split between buyer/developer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 completion</w:t>
            </w:r>
          </w:p>
        </w:tc>
        <w:tc>
          <w:tcPr>
            <w:tcW w:type="dxa" w:w="1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w:t>
            </w:r>
          </w:p>
        </w:tc>
        <w:tc>
          <w:tcPr>
            <w:tcW w:type="dxa" w:w="2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Family Office Retainer</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100K–250K per annum</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Quarterly in advance</w:t>
            </w:r>
          </w:p>
        </w:tc>
        <w:tc>
          <w:tcPr>
            <w:tcW w:type="dxa" w:w="1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w:t>
            </w:r>
          </w:p>
        </w:tc>
        <w:tc>
          <w:tcPr>
            <w:tcW w:type="dxa" w:w="2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Golden Visa Processing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15K–35K per application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 upfront, 50% on approval</w:t>
            </w:r>
          </w:p>
        </w:tc>
        <w:tc>
          <w:tcPr>
            <w:tcW w:type="dxa" w:w="1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w:t>
            </w:r>
          </w:p>
        </w:tc>
        <w:tc>
          <w:tcPr>
            <w:tcW w:type="dxa" w:w="2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Portfolio Reinvestment</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0.5%–1% of reinvested capital</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 completion</w:t>
            </w:r>
          </w:p>
        </w:tc>
        <w:tc>
          <w:tcPr>
            <w:tcW w:type="dxa" w:w="1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w:t>
            </w:r>
          </w:p>
        </w:tc>
        <w:tc>
          <w:tcPr>
            <w:tcW w:type="dxa" w:w="22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Referral Partner Fees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0.3%–0.5% (from developer)</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 completion</w:t>
            </w:r>
          </w:p>
        </w:tc>
        <w:tc>
          <w:tcPr>
            <w:tcW w:type="dxa" w:w="1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w:t>
            </w:r>
          </w:p>
        </w:tc>
        <w:tc>
          <w:tcPr>
            <w:tcW w:type="dxa" w:w="22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7.2 Three-Year P&amp;L Projections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P&amp;L Line Item</w:t>
            </w:r>
          </w:p>
        </w:tc>
        <w:tc>
          <w:tcPr>
            <w:tcW w:type="dxa" w:w="21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21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21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TRANSACTIONS &amp; VOLUME</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Number of transactions</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 – 12</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25 – 35</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 – 80</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Average transaction value</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$8.0M</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$11.0M</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$14.0M</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  Total advised deal volume</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$64M – $96M</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$275M – $385M</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$840M – $1,120M</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REVENUE</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Primary advisory fees (1.5–2%)</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$960K – $1.92M</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$4.1M – $7.7M</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$12.6M – $22.4M</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Retainer fees</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$50K – $100K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$250K – $500K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$700K – $1.4M</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Golden Visa &amp; structuring fees</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$75K – $125K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$175K – $300K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$350K – $700K</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Portfolio reinvestment fees</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$30K – $80K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$175K – $350K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$700K – $1.4M</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Referral &amp; other income</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$20K – $50K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$75K – $150K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$200K – $500K</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REVENUE</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$1.14M – $2.28M</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$4.78M – $9.0M</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$14.55M – $26.4M</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OPERATING COSTS</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People costs (salaries &amp; draws)</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$220K – $260K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$600K – $800K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$1.1M – $1.4M</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Technology &amp; AI infrastructure</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$58K – $106K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$80K – $130K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$120K – $180K</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Marketing, events &amp; travel</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$180K – $220K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$350K – $500K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$600K – $900K</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Legal, compliance &amp; regulatory</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$80K – $100K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$140K – $180K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$200K – $280K</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Office, admin &amp; miscellaneous</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$40K – $60K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$80K – $120K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$120K – $200K</w:t>
            </w:r>
          </w:p>
        </w:tc>
      </w:tr>
      <w:tr>
        <w:tc>
          <w:tcPr>
            <w:tcW w:type="dxa" w:w="3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Brand, content &amp; collateral</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 – $80K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$100K – $150K</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$150K – $220K</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OPERATING COSTS</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$638K – $826K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$1,350K – $1,880K</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$2,290K – $3,180K</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EBITDA</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$314K – $1.45M</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$2.9M – $7.12M</w:t>
            </w:r>
          </w:p>
        </w:tc>
        <w:tc>
          <w:tcPr>
            <w:tcW w:type="dxa" w:w="21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$12.26M – $23.22M</w:t>
            </w:r>
          </w:p>
        </w:tc>
      </w:tr>
      <w:tr>
        <w:tc>
          <w:tcPr>
            <w:tcW w:type="dxa" w:w="3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EBITDA MARGIN</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28% – 63%</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61% – 79%</w:t>
            </w:r>
          </w:p>
        </w:tc>
        <w:tc>
          <w:tcPr>
            <w:tcW w:type="dxa" w:w="21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84% – 88%</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7.3 Year 1 Monthly Cash Flow Projection</w:t>
      </w:r>
    </w:p>
    <w:p>
      <w:pPr>
        <w:spacing w:before="60" w:after="80"/>
        <w:jc w:val="both"/>
      </w:pPr>
      <w:r>
        <w:rPr>
          <w:rFonts w:ascii="Arial" w:cs="Arial" w:eastAsia="Arial" w:hAnsi="Arial"/>
          <w:color w:val="3D3D3D"/>
          <w:sz w:val="22"/>
          <w:szCs w:val="22"/>
        </w:rPr>
        <w:t xml:space="preserve">This is the most critical table in the plan for a success-fee advisory business with no recurring revenue in Year 1. Cash flow must be managed with discipline — expenses are immediate, revenue is deferred to deal completion.</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60"/>
        <w:gridCol w:w="1560"/>
        <w:gridCol w:w="1560"/>
        <w:gridCol w:w="1560"/>
        <w:gridCol w:w="1320"/>
      </w:tblGrid>
      <w:tr>
        <w:tc>
          <w:tcPr>
            <w:tcW w:type="dxa" w:w="21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2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Q1</w:t>
            </w:r>
          </w:p>
        </w:tc>
        <w:tc>
          <w:tcPr>
            <w:tcW w:type="dxa" w:w="15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Q2</w:t>
            </w:r>
          </w:p>
        </w:tc>
        <w:tc>
          <w:tcPr>
            <w:tcW w:type="dxa" w:w="15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Q3</w:t>
            </w:r>
          </w:p>
        </w:tc>
        <w:tc>
          <w:tcPr>
            <w:tcW w:type="dxa" w:w="15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Q4</w:t>
            </w:r>
          </w:p>
        </w:tc>
        <w:tc>
          <w:tcPr>
            <w:tcW w:type="dxa" w:w="13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FY Total</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Opening Cash</w:t>
            </w:r>
          </w:p>
        </w:tc>
        <w:tc>
          <w:tcPr>
            <w:tcW w:type="dxa" w:w="12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$275K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$145K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$215K</w:t>
            </w:r>
          </w:p>
        </w:tc>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$500K</w:t>
            </w:r>
          </w:p>
        </w:tc>
      </w:tr>
      <w:tr>
        <w:tc>
          <w:tcPr>
            <w:tcW w:type="dxa" w:w="2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Advisory Fees (Primary)</w:t>
            </w:r>
          </w:p>
        </w:tc>
        <w:tc>
          <w:tcPr>
            <w:tcW w:type="dxa" w:w="12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$240K–$480K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$480K–$720K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$480K–$720K</w:t>
            </w:r>
          </w:p>
        </w:tc>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$1.2M–$1.92M</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Secondary Revenue</w:t>
            </w:r>
          </w:p>
        </w:tc>
        <w:tc>
          <w:tcPr>
            <w:tcW w:type="dxa" w:w="12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$110K</w:t>
            </w:r>
          </w:p>
        </w:tc>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$200K</w:t>
            </w:r>
          </w:p>
        </w:tc>
      </w:tr>
      <w:tr>
        <w:tc>
          <w:tcPr>
            <w:tcW w:type="dxa" w:w="2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Operating Costs</w:t>
            </w:r>
          </w:p>
        </w:tc>
        <w:tc>
          <w:tcPr>
            <w:tcW w:type="dxa" w:w="12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-$225K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-$185K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-$170K</w:t>
            </w:r>
          </w:p>
        </w:tc>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-$780K</w:t>
            </w:r>
          </w:p>
        </w:tc>
      </w:tr>
      <w:tr>
        <w:tc>
          <w:tcPr>
            <w:tcW w:type="dxa" w:w="21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Capex / Setup</w:t>
            </w:r>
          </w:p>
        </w:tc>
        <w:tc>
          <w:tcPr>
            <w:tcW w:type="dxa" w:w="12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-$10K</w:t>
            </w:r>
          </w:p>
        </w:tc>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-$220K</w:t>
            </w:r>
          </w:p>
        </w:tc>
      </w:tr>
      <w:tr>
        <w:tc>
          <w:tcPr>
            <w:tcW w:type="dxa" w:w="2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Events &amp; Travel</w:t>
            </w:r>
          </w:p>
        </w:tc>
        <w:tc>
          <w:tcPr>
            <w:tcW w:type="dxa" w:w="12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-$40K</w:t>
            </w:r>
          </w:p>
        </w:tc>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-$150K</w:t>
            </w:r>
          </w:p>
        </w:tc>
      </w:tr>
      <w:tr>
        <w:tc>
          <w:tcPr>
            <w:tcW w:type="dxa" w:w="21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Net Cash Movement</w:t>
            </w:r>
          </w:p>
        </w:tc>
        <w:tc>
          <w:tcPr>
            <w:tcW w:type="dxa" w:w="12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-$375K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-$30K / +$210K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+$285K / +$525K</w:t>
            </w:r>
          </w:p>
        </w:tc>
        <w:tc>
          <w:tcPr>
            <w:tcW w:type="dxa" w:w="1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+$370K / +$610K</w:t>
            </w:r>
          </w:p>
        </w:tc>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+$280K / +$1.3M</w:t>
            </w:r>
          </w:p>
        </w:tc>
      </w:tr>
      <w:tr>
        <w:tc>
          <w:tcPr>
            <w:tcW w:type="dxa" w:w="2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CLOSING CASH</w:t>
            </w:r>
          </w:p>
        </w:tc>
        <w:tc>
          <w:tcPr>
            <w:tcW w:type="dxa" w:w="12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$125K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$95K – $385K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$380K – $910K</w:t>
            </w:r>
          </w:p>
        </w:tc>
        <w:tc>
          <w:tcPr>
            <w:tcW w:type="dxa" w:w="15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$750K – $1.52M</w:t>
            </w:r>
          </w:p>
        </w:tc>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Cumulative</w:t>
            </w:r>
          </w:p>
        </w:tc>
      </w:tr>
    </w:tbl>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B8972A"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KEY INSIGHT</w:t>
            </w:r>
          </w:p>
        </w:tc>
        <w:tc>
          <w:tcPr>
            <w:tcW w:type="dxa" w:w="8940"/>
            <w:tcBorders>
              <w:top w:val="single" w:color="B8972A" w:sz="1"/>
              <w:left w:val="none" w:color="FFFFFF" w:sz="0"/>
              <w:bottom w:val="single" w:color="B8972A" w:sz="1"/>
              <w:right w:val="single" w:color="B8972A" w:sz="1"/>
            </w:tcBorders>
            <w:shd w:fill="F5F2EA" w:val="clear"/>
            <w:tcMar>
              <w:top w:type="dxa" w:w="100"/>
              <w:left w:type="dxa" w:w="160"/>
              <w:bottom w:type="dxa" w:w="100"/>
              <w:right w:type="dxa" w:w="140"/>
            </w:tcMar>
          </w:tcPr>
          <w:p>
            <w:r>
              <w:rPr>
                <w:rFonts w:ascii="Arial" w:cs="Arial" w:eastAsia="Arial" w:hAnsi="Arial"/>
                <w:i/>
                <w:iCs/>
                <w:color w:val="1A1A1A"/>
                <w:sz w:val="21"/>
                <w:szCs w:val="21"/>
              </w:rPr>
              <w:t xml:space="preserve">Under the Base Case, the business goes cash-flow negative in Q1 and early Q2 before the first transaction closes. The $500K initial capital requirement is non-negotiable — it must be fully funded before operations launch. The founder should maintain a personal reserve equal to 6 months of living expenses independently of the business.</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7.4 Sensitivity Analysis — Bear, Base &amp; Bull Cases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260"/>
        <w:gridCol w:w="1000"/>
        <w:gridCol w:w="1400"/>
        <w:gridCol w:w="2300"/>
      </w:tblGrid>
      <w:tr>
        <w:tc>
          <w:tcPr>
            <w:tcW w:type="dxa" w:w="15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9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Deals / Year</w:t>
            </w:r>
          </w:p>
        </w:tc>
        <w:tc>
          <w:tcPr>
            <w:tcW w:type="dxa" w:w="1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Deal $</w:t>
            </w:r>
          </w:p>
        </w:tc>
        <w:tc>
          <w:tcPr>
            <w:tcW w:type="dxa" w:w="12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w:t>
            </w:r>
          </w:p>
        </w:tc>
        <w:tc>
          <w:tcPr>
            <w:tcW w:type="dxa" w:w="1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 Cost</w:t>
            </w:r>
          </w:p>
        </w:tc>
        <w:tc>
          <w:tcPr>
            <w:tcW w:type="dxa" w:w="1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EBITDA</w:t>
            </w:r>
          </w:p>
        </w:tc>
        <w:tc>
          <w:tcPr>
            <w:tcW w:type="dxa" w:w="23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Cash Position</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Bear Case</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$6M</w:t>
            </w:r>
          </w:p>
        </w:tc>
        <w:tc>
          <w:tcPr>
            <w:tcW w:type="dxa" w:w="12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$360K–$480K</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$770K</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-$290K to -$410K</w:t>
            </w:r>
          </w:p>
        </w:tc>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Runway consumed by Q4</w:t>
            </w:r>
          </w:p>
        </w:tc>
      </w:tr>
      <w:tr>
        <w:tc>
          <w:tcPr>
            <w:tcW w:type="dxa" w:w="15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Base Case</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w:t>
            </w:r>
          </w:p>
        </w:tc>
        <w:tc>
          <w:tcPr>
            <w:tcW w:type="dxa" w:w="1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$8M</w:t>
            </w:r>
          </w:p>
        </w:tc>
        <w:tc>
          <w:tcPr>
            <w:tcW w:type="dxa" w:w="12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$1.2M–$1.6M</w:t>
            </w:r>
          </w:p>
        </w:tc>
        <w:tc>
          <w:tcPr>
            <w:tcW w:type="dxa" w:w="1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$770K</w:t>
            </w:r>
          </w:p>
        </w:tc>
        <w:tc>
          <w:tcPr>
            <w:tcW w:type="dxa" w:w="1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$430K–$830K</w:t>
            </w:r>
          </w:p>
        </w:tc>
        <w:tc>
          <w:tcPr>
            <w:tcW w:type="dxa" w:w="2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Break-even by Q3</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Bull Case</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14</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$10M</w:t>
            </w:r>
          </w:p>
        </w:tc>
        <w:tc>
          <w:tcPr>
            <w:tcW w:type="dxa" w:w="12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$2.1M–$2.8M</w:t>
            </w:r>
          </w:p>
        </w:tc>
        <w:tc>
          <w:tcPr>
            <w:tcW w:type="dxa" w:w="1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$900K</w:t>
            </w:r>
          </w:p>
        </w:tc>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$1.2M–$1.9M</w:t>
            </w:r>
          </w:p>
        </w:tc>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Strong positive FCF</w:t>
            </w:r>
          </w:p>
        </w:tc>
      </w:tr>
    </w:tbl>
    <w:p>
      <w:pPr>
        <w:spacing w:before="40" w:after="40"/>
      </w:pPr>
      <w:r>
        <w:rPr>
          <w:rFonts w:ascii="Arial" w:cs="Arial" w:eastAsia="Arial" w:hAnsi="Arial"/>
          <w:color w:val="3D3D3D"/>
          <w:sz w:val="22"/>
          <w:szCs w:val="22"/>
        </w:rPr>
        <w:t xml:space="preserve"/>
      </w:r>
    </w:p>
    <w:p>
      <w:pPr>
        <w:spacing w:before="60" w:after="80"/>
        <w:jc w:val="both"/>
      </w:pPr>
      <w:r>
        <w:rPr>
          <w:rFonts w:ascii="Arial" w:cs="Arial" w:eastAsia="Arial" w:hAnsi="Arial"/>
          <w:color w:val="3D3D3D"/>
          <w:sz w:val="22"/>
          <w:szCs w:val="22"/>
        </w:rPr>
        <w:t xml:space="preserve">CRITICAL RISK: The Bear Case (4 transactions) is a genuinely plausible Year 1 scenario if the founder's existing network does not convert in H1. In this case, the business loses approximately $290K in Year 1 and requires the full $500K initial capital plus additional working capital. This risk is best mitigated by securing at minimum 3 letters of intent or signed mandates before incorporating and spending money on operations.</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7.5 Initial Capital Requirement &amp; Use of Funds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12-Month Budget</w:t>
            </w:r>
          </w:p>
        </w:tc>
        <w:tc>
          <w:tcPr>
            <w:tcW w:type="dxa" w:w="51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&amp; Rationale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 Draw / Salary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$120,000</w:t>
            </w:r>
          </w:p>
        </w:tc>
        <w:tc>
          <w:tcPr>
            <w:tcW w:type="dxa" w:w="5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 living expenses for 12 months — non-negotiable for focus</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 Operations Manager</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$70,000</w:t>
            </w:r>
          </w:p>
        </w:tc>
        <w:tc>
          <w:tcPr>
            <w:tcW w:type="dxa" w:w="5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Full-time hire managing entire tech &amp; admin stack</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Technology &amp; AI Stack</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$80,000</w:t>
            </w:r>
          </w:p>
        </w:tc>
        <w:tc>
          <w:tcPr>
            <w:tcW w:type="dxa" w:w="5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All software subscriptions for 12 months</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Entity Setup &amp; RERA</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$45,000</w:t>
            </w:r>
          </w:p>
        </w:tc>
        <w:tc>
          <w:tcPr>
            <w:tcW w:type="dxa" w:w="5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Company registration, RERA licence, compliance setup</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Marketing, Brand &amp; Website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$40,000</w:t>
            </w:r>
          </w:p>
        </w:tc>
        <w:tc>
          <w:tcPr>
            <w:tcW w:type="dxa" w:w="5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Brand identity, website, pitch materials, case study templates</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Events &amp; Conference Attendance</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$80,000</w:t>
            </w:r>
          </w:p>
        </w:tc>
        <w:tc>
          <w:tcPr>
            <w:tcW w:type="dxa" w:w="5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 global conferences + 8 private dinner events in Dubai</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Travel &amp; Client Entertainment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$60,000</w:t>
            </w:r>
          </w:p>
        </w:tc>
        <w:tc>
          <w:tcPr>
            <w:tcW w:type="dxa" w:w="5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 meetings in London, Mumbai, Riyadh, Geneva</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Lead Data &amp; Intelligence Tools</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$30,000</w:t>
            </w:r>
          </w:p>
        </w:tc>
        <w:tc>
          <w:tcPr>
            <w:tcW w:type="dxa" w:w="5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Forbes API, Clay data, LinkedIn SN annual licences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Regulatory &amp; Insurance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$40,000</w:t>
            </w:r>
          </w:p>
        </w:tc>
        <w:tc>
          <w:tcPr>
            <w:tcW w:type="dxa" w:w="5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Ongoing legal counsel retainer + PI insurance</w:t>
            </w:r>
          </w:p>
        </w:tc>
      </w:tr>
      <w:tr>
        <w:tc>
          <w:tcPr>
            <w:tcW w:type="dxa" w:w="2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Contingency &amp; Working Capital</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$75,000</w:t>
            </w:r>
          </w:p>
        </w:tc>
        <w:tc>
          <w:tcPr>
            <w:tcW w:type="dxa" w:w="5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Emergency buffer — minimum 3 months operating reserve</w:t>
            </w:r>
          </w:p>
        </w:tc>
      </w:tr>
      <w:tr>
        <w:tc>
          <w:tcPr>
            <w:tcW w:type="dxa" w:w="24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INITIAL CAPITAL REQUIRED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$640,000</w:t>
            </w:r>
          </w:p>
        </w:tc>
        <w:tc>
          <w:tcPr>
            <w:tcW w:type="dxa" w:w="5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Revised from v003 to reflect complete cost capture</w:t>
            </w:r>
          </w:p>
        </w:tc>
      </w:tr>
    </w:tbl>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FF5F5" w:val="clear"/>
            <w:tcMar>
              <w:top w:type="dxa" w:w="120"/>
              <w:left w:type="dxa" w:w="180"/>
              <w:bottom w:type="dxa" w:w="120"/>
              <w:right w:type="dxa" w:w="160"/>
            </w:tcMar>
          </w:tcPr>
          <w:p>
            <w:r>
              <w:rPr>
                <w:rFonts w:ascii="Arial" w:cs="Arial" w:eastAsia="Arial" w:hAnsi="Arial"/>
                <w:color w:val="8B1A1A"/>
                <w:sz w:val="20"/>
                <w:szCs w:val="20"/>
              </w:rPr>
              <w:t xml:space="preserve">REVISION NOTICE: The initial capital requirement has been revised upward from $500K (v003) to $640K (v004) to accurately reflect the full-year operating budget including founder compensation. Operating without founder compensation creates business risk and is not advisable.</w:t>
            </w:r>
          </w:p>
        </w:tc>
      </w:tr>
    </w:tbl>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8: RISK ANALYSIS &amp; MITIGATION</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8.1 Full Risk Register</w:t>
      </w:r>
    </w:p>
    <w:p>
      <w:pPr>
        <w:spacing w:before="40" w:after="40"/>
      </w:pPr>
      <w:r>
        <w:rPr>
          <w:rFonts w:ascii="Arial" w:cs="Arial" w:eastAsia="Arial" w:hAnsi="Arial"/>
          <w:color w:val="3D3D3D"/>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680"/>
        <w:gridCol w:w="900"/>
        <w:gridCol w:w="800"/>
        <w:gridCol w:w="3180"/>
        <w:gridCol w:w="1200"/>
      </w:tblGrid>
      <w:tr>
        <w:tc>
          <w:tcPr>
            <w:tcW w:type="dxa" w:w="6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ID</w:t>
            </w:r>
          </w:p>
        </w:tc>
        <w:tc>
          <w:tcPr>
            <w:tcW w:type="dxa" w:w="16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9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31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c>
          <w:tcPr>
            <w:tcW w:type="dxa" w:w="1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R-01</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 health / incapacity</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w:t>
            </w:r>
          </w:p>
        </w:tc>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Critical</w:t>
            </w:r>
          </w:p>
        </w:tc>
        <w:tc>
          <w:tcPr>
            <w:tcW w:type="dxa" w:w="31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Life &amp; disability insurance (min $2M); document all client relationships in CRM from Day 1; legal succession clause in company docs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w:t>
            </w:r>
          </w:p>
        </w:tc>
      </w:tr>
      <w:tr>
        <w:tc>
          <w:tcPr>
            <w:tcW w:type="dxa" w:w="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R-02</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Slow Year 1 deal pipeline (Bear Case)</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High</w:t>
            </w:r>
          </w:p>
        </w:tc>
        <w:tc>
          <w:tcPr>
            <w:tcW w:type="dxa" w:w="31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Secure 3 signed LOIs before spending; activate existing network in Month 1; reduce opex aggressively if no deal by Month 5</w:t>
            </w:r>
          </w:p>
        </w:tc>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R-03</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market price correction</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Low-Medium</w:t>
            </w:r>
          </w:p>
        </w:tc>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31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Focus on genuine value, not momentum; all recommendations include downside analysis; diversify across asset types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w:t>
            </w:r>
          </w:p>
        </w:tc>
      </w:tr>
      <w:tr>
        <w:tc>
          <w:tcPr>
            <w:tcW w:type="dxa" w:w="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R-04</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Key referral partner withdraws</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31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Build minimum 20 referral partners — no single partner &gt;20% of pipeline; formal written referral agreements with notice clauses</w:t>
            </w:r>
          </w:p>
        </w:tc>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R-05</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Competitor replication of model</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Low-Medium</w:t>
            </w:r>
          </w:p>
        </w:tc>
        <w:tc>
          <w:tcPr>
            <w:tcW w:type="dxa" w:w="31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Proprietary UHNWI database, developer agreements, and founder brand — all require 2–3 years to replicate; first-mover advantage is time-limited but real</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w:t>
            </w:r>
          </w:p>
        </w:tc>
      </w:tr>
      <w:tr>
        <w:tc>
          <w:tcPr>
            <w:tcW w:type="dxa" w:w="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R-06</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Regulatory change: RERA / DIFC rules</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w:t>
            </w:r>
          </w:p>
        </w:tc>
        <w:tc>
          <w:tcPr>
            <w:tcW w:type="dxa" w:w="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31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counsel retainer from Day 1; DIFC entity structure provides regulatory stability; diversify to multiple operating licences by Year 2</w:t>
            </w:r>
          </w:p>
        </w:tc>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Counsel</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R-07</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WhatsApp Business API suspension</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w:t>
            </w:r>
          </w:p>
        </w:tc>
        <w:tc>
          <w:tcPr>
            <w:tcW w:type="dxa" w:w="31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Email always maintained as primary channel; WhatsApp is secondary; client database not dependent on any single platform</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 Ops Manager</w:t>
            </w:r>
          </w:p>
        </w:tc>
      </w:tr>
      <w:tr>
        <w:tc>
          <w:tcPr>
            <w:tcW w:type="dxa" w:w="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R-08</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 tool cost escalation or shutdown</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Medium</w:t>
            </w:r>
          </w:p>
        </w:tc>
        <w:tc>
          <w:tcPr>
            <w:tcW w:type="dxa" w:w="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w:t>
            </w:r>
          </w:p>
        </w:tc>
        <w:tc>
          <w:tcPr>
            <w:tcW w:type="dxa" w:w="31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Multi-tool strategy with documented alternatives; no single AI tool is irreplaceable in the stack</w:t>
            </w:r>
          </w:p>
        </w:tc>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AI Ops Manager</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R-09</w:t>
            </w:r>
          </w:p>
        </w:tc>
        <w:tc>
          <w:tcPr>
            <w:tcW w:type="dxa" w:w="16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 data breach</w:t>
            </w:r>
          </w:p>
        </w:tc>
        <w:tc>
          <w:tcPr>
            <w:tcW w:type="dxa" w:w="9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w:t>
            </w:r>
          </w:p>
        </w:tc>
        <w:tc>
          <w:tcPr>
            <w:tcW w:type="dxa" w:w="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Very High</w:t>
            </w:r>
          </w:p>
        </w:tc>
        <w:tc>
          <w:tcPr>
            <w:tcW w:type="dxa" w:w="31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Encrypted CRM; no client PII in unencrypted environments; annual security audit; PI insurance; NDA with all staff</w:t>
            </w:r>
          </w:p>
        </w:tc>
        <w:tc>
          <w:tcPr>
            <w:tcW w:type="dxa" w:w="1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All</w:t>
            </w:r>
          </w:p>
        </w:tc>
      </w:tr>
      <w:tr>
        <w:tc>
          <w:tcPr>
            <w:tcW w:type="dxa" w:w="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R-10</w:t>
            </w:r>
          </w:p>
        </w:tc>
        <w:tc>
          <w:tcPr>
            <w:tcW w:type="dxa" w:w="16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UHNWI wealth contraction (market event)</w:t>
            </w:r>
          </w:p>
        </w:tc>
        <w:tc>
          <w:tcPr>
            <w:tcW w:type="dxa" w:w="9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w:t>
            </w:r>
          </w:p>
        </w:tc>
        <w:tc>
          <w:tcPr>
            <w:tcW w:type="dxa" w:w="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High</w:t>
            </w:r>
          </w:p>
        </w:tc>
        <w:tc>
          <w:tcPr>
            <w:tcW w:type="dxa" w:w="31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UHNWI segment is most resilient in downturns; Dubai benefits from flight-to-safety capital in crises (proven in 2020 COVID period)</w:t>
            </w:r>
          </w:p>
        </w:tc>
        <w:tc>
          <w:tcPr>
            <w:tcW w:type="dxa" w:w="1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Founder</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8.2 SWOT Analysis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before="0" w:after="80"/>
            </w:pPr>
            <w:r>
              <w:rPr>
                <w:rFonts w:ascii="Arial" w:cs="Arial" w:eastAsia="Arial" w:hAnsi="Arial"/>
                <w:b/>
                <w:bCs/>
                <w:color w:val="1A1A1A"/>
                <w:sz w:val="22"/>
                <w:szCs w:val="22"/>
              </w:rPr>
              <w:t xml:space="preserve">STRENGTHS</w:t>
            </w:r>
          </w:p>
          <w:p>
            <w:pPr>
              <w:spacing w:before="40" w:after="40"/>
            </w:pPr>
            <w:r>
              <w:rPr>
                <w:rFonts w:ascii="Arial" w:cs="Arial" w:eastAsia="Arial" w:hAnsi="Arial"/>
                <w:color w:val="3D3D3D"/>
                <w:sz w:val="22"/>
                <w:szCs w:val="22"/>
              </w:rPr>
              <w:t xml:space="preserve">  Founder's genuine UHNWI network depth (to be quantified in Section 2)</w:t>
            </w:r>
          </w:p>
          <w:p>
            <w:pPr>
              <w:spacing w:before="40" w:after="40"/>
            </w:pPr>
            <w:r>
              <w:rPr>
                <w:rFonts w:ascii="Arial" w:cs="Arial" w:eastAsia="Arial" w:hAnsi="Arial"/>
                <w:color w:val="3D3D3D"/>
                <w:sz w:val="22"/>
                <w:szCs w:val="22"/>
              </w:rPr>
              <w:t xml:space="preserve">  100% off-market access via premier developer relationships</w:t>
            </w:r>
          </w:p>
          <w:p>
            <w:pPr>
              <w:spacing w:before="40" w:after="40"/>
            </w:pPr>
            <w:r>
              <w:rPr>
                <w:rFonts w:ascii="Arial" w:cs="Arial" w:eastAsia="Arial" w:hAnsi="Arial"/>
                <w:color w:val="3D3D3D"/>
                <w:sz w:val="22"/>
                <w:szCs w:val="22"/>
              </w:rPr>
              <w:t xml:space="preserve">  AI-augmented advisory infrastructure — unique in this market segment</w:t>
            </w:r>
          </w:p>
          <w:p>
            <w:pPr>
              <w:spacing w:before="40" w:after="40"/>
            </w:pPr>
            <w:r>
              <w:rPr>
                <w:rFonts w:ascii="Arial" w:cs="Arial" w:eastAsia="Arial" w:hAnsi="Arial"/>
                <w:color w:val="3D3D3D"/>
                <w:sz w:val="22"/>
                <w:szCs w:val="22"/>
              </w:rPr>
              <w:t xml:space="preserve">  Success-aligned fee model — zero conflict of interest</w:t>
            </w:r>
          </w:p>
          <w:p>
            <w:pPr>
              <w:spacing w:before="40" w:after="40"/>
            </w:pPr>
            <w:r>
              <w:rPr>
                <w:rFonts w:ascii="Arial" w:cs="Arial" w:eastAsia="Arial" w:hAnsi="Arial"/>
                <w:color w:val="3D3D3D"/>
                <w:sz w:val="22"/>
                <w:szCs w:val="22"/>
              </w:rPr>
              <w:t xml:space="preserve">  Lean capital-light model — low fixed costs in Year 1</w:t>
            </w:r>
          </w:p>
          <w:p>
            <w:pPr>
              <w:spacing w:before="40" w:after="40"/>
            </w:pPr>
            <w:r>
              <w:rPr>
                <w:rFonts w:ascii="Arial" w:cs="Arial" w:eastAsia="Arial" w:hAnsi="Arial"/>
                <w:color w:val="3D3D3D"/>
                <w:sz w:val="22"/>
                <w:szCs w:val="22"/>
              </w:rPr>
              <w:t xml:space="preserve">  Dubai market expertise and jurisdictional knowledge</w:t>
            </w:r>
          </w:p>
        </w:tc>
        <w:tc>
          <w:tcPr>
            <w:tcW w:type="dxa" w:w="4680"/>
            <w:tcBorders>
              <w:top w:val="single" w:color="DDDDDD" w:sz="1"/>
              <w:left w:val="single" w:color="DDDDDD" w:sz="1"/>
              <w:bottom w:val="single" w:color="DDDDDD" w:sz="1"/>
              <w:right w:val="single" w:color="DDDDDD" w:sz="1"/>
            </w:tcBorders>
            <w:shd w:fill="EEECEB" w:val="clear"/>
            <w:tcMar>
              <w:top w:type="dxa" w:w="120"/>
              <w:left w:type="dxa" w:w="160"/>
              <w:bottom w:type="dxa" w:w="120"/>
              <w:right w:type="dxa" w:w="160"/>
            </w:tcMar>
          </w:tcPr>
          <w:p>
            <w:pPr>
              <w:spacing w:before="0" w:after="80"/>
            </w:pPr>
            <w:r>
              <w:rPr>
                <w:rFonts w:ascii="Arial" w:cs="Arial" w:eastAsia="Arial" w:hAnsi="Arial"/>
                <w:b/>
                <w:bCs/>
                <w:color w:val="1A1A1A"/>
                <w:sz w:val="22"/>
                <w:szCs w:val="22"/>
              </w:rPr>
              <w:t xml:space="preserve">WEAKNESSES (Honest Assessment)</w:t>
            </w:r>
          </w:p>
          <w:p>
            <w:pPr>
              <w:spacing w:before="40" w:after="40"/>
            </w:pPr>
            <w:r>
              <w:rPr>
                <w:rFonts w:ascii="Arial" w:cs="Arial" w:eastAsia="Arial" w:hAnsi="Arial"/>
                <w:color w:val="3D3D3D"/>
                <w:sz w:val="22"/>
                <w:szCs w:val="22"/>
              </w:rPr>
              <w:t xml:space="preserve">  Founder dependency in Year 1 — single point of failure (acknowledged)</w:t>
            </w:r>
          </w:p>
          <w:p>
            <w:pPr>
              <w:spacing w:before="40" w:after="40"/>
            </w:pPr>
            <w:r>
              <w:rPr>
                <w:rFonts w:ascii="Arial" w:cs="Arial" w:eastAsia="Arial" w:hAnsi="Arial"/>
                <w:color w:val="3D3D3D"/>
                <w:sz w:val="22"/>
                <w:szCs w:val="22"/>
              </w:rPr>
              <w:t xml:space="preserve">  Brand is nascent — trust must be earned transaction by transaction</w:t>
            </w:r>
          </w:p>
          <w:p>
            <w:pPr>
              <w:spacing w:before="40" w:after="40"/>
            </w:pPr>
            <w:r>
              <w:rPr>
                <w:rFonts w:ascii="Arial" w:cs="Arial" w:eastAsia="Arial" w:hAnsi="Arial"/>
                <w:color w:val="3D3D3D"/>
                <w:sz w:val="22"/>
                <w:szCs w:val="22"/>
              </w:rPr>
              <w:t xml:space="preserve">  No recurring revenue in Year 1 — pure success-fee cash flow risk</w:t>
            </w:r>
          </w:p>
          <w:p>
            <w:pPr>
              <w:spacing w:before="40" w:after="40"/>
            </w:pPr>
            <w:r>
              <w:rPr>
                <w:rFonts w:ascii="Arial" w:cs="Arial" w:eastAsia="Arial" w:hAnsi="Arial"/>
                <w:color w:val="3D3D3D"/>
                <w:sz w:val="22"/>
                <w:szCs w:val="22"/>
              </w:rPr>
              <w:t xml:space="preserve">  Limited capacity — maximum 35 mandates limits Year 1 revenue ceiling</w:t>
            </w:r>
          </w:p>
        </w:tc>
      </w:tr>
    </w:tbl>
    <w:p>
      <w:pPr>
        <w:spacing w:before="12" w:after="12"/>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2EA" w:val="clear"/>
            <w:tcMar>
              <w:top w:type="dxa" w:w="120"/>
              <w:left w:type="dxa" w:w="160"/>
              <w:bottom w:type="dxa" w:w="120"/>
              <w:right w:type="dxa" w:w="160"/>
            </w:tcMar>
          </w:tcPr>
          <w:p>
            <w:pPr>
              <w:spacing w:before="0" w:after="80"/>
            </w:pPr>
            <w:r>
              <w:rPr>
                <w:rFonts w:ascii="Arial" w:cs="Arial" w:eastAsia="Arial" w:hAnsi="Arial"/>
                <w:b/>
                <w:bCs/>
                <w:color w:val="1A1A1A"/>
                <w:sz w:val="22"/>
                <w:szCs w:val="22"/>
              </w:rPr>
              <w:t xml:space="preserve">OPPORTUNITIES</w:t>
            </w:r>
          </w:p>
          <w:p>
            <w:pPr>
              <w:spacing w:before="40" w:after="40"/>
            </w:pPr>
            <w:r>
              <w:rPr>
                <w:rFonts w:ascii="Arial" w:cs="Arial" w:eastAsia="Arial" w:hAnsi="Arial"/>
                <w:color w:val="3D3D3D"/>
                <w:sz w:val="22"/>
                <w:szCs w:val="22"/>
              </w:rPr>
              <w:t xml:space="preserve">  Dubai UHNWI influx is structural, not cyclical — 5-year tailwind</w:t>
            </w:r>
          </w:p>
          <w:p>
            <w:pPr>
              <w:spacing w:before="40" w:after="40"/>
            </w:pPr>
            <w:r>
              <w:rPr>
                <w:rFonts w:ascii="Arial" w:cs="Arial" w:eastAsia="Arial" w:hAnsi="Arial"/>
                <w:color w:val="3D3D3D"/>
                <w:sz w:val="22"/>
                <w:szCs w:val="22"/>
              </w:rPr>
              <w:t xml:space="preserve">  No dominant private advisory brand in this market — clear white space</w:t>
            </w:r>
          </w:p>
          <w:p>
            <w:pPr>
              <w:spacing w:before="40" w:after="40"/>
            </w:pPr>
            <w:r>
              <w:rPr>
                <w:rFonts w:ascii="Arial" w:cs="Arial" w:eastAsia="Arial" w:hAnsi="Arial"/>
                <w:color w:val="3D3D3D"/>
                <w:sz w:val="22"/>
                <w:szCs w:val="22"/>
              </w:rPr>
              <w:t xml:space="preserve">  AI tools improving rapidly — advisory quality advantage compounds over time</w:t>
            </w:r>
          </w:p>
          <w:p>
            <w:pPr>
              <w:spacing w:before="40" w:after="40"/>
            </w:pPr>
            <w:r>
              <w:rPr>
                <w:rFonts w:ascii="Arial" w:cs="Arial" w:eastAsia="Arial" w:hAnsi="Arial"/>
                <w:color w:val="3D3D3D"/>
                <w:sz w:val="22"/>
                <w:szCs w:val="22"/>
              </w:rPr>
              <w:t xml:space="preserve">  Family office formalisation creates demand for strategic real estate advisory</w:t>
            </w:r>
          </w:p>
          <w:p>
            <w:pPr>
              <w:spacing w:before="40" w:after="40"/>
            </w:pPr>
            <w:r>
              <w:rPr>
                <w:rFonts w:ascii="Arial" w:cs="Arial" w:eastAsia="Arial" w:hAnsi="Arial"/>
                <w:color w:val="3D3D3D"/>
                <w:sz w:val="22"/>
                <w:szCs w:val="22"/>
              </w:rPr>
              <w:t xml:space="preserve">  OECD Pillar 2 tax reforms driving UHNWI capital out of Europe</w:t>
            </w:r>
          </w:p>
        </w:tc>
        <w:tc>
          <w:tcPr>
            <w:tcW w:type="dxa" w:w="4680"/>
            <w:tcBorders>
              <w:top w:val="single" w:color="DDDDDD" w:sz="1"/>
              <w:left w:val="single" w:color="DDDDDD" w:sz="1"/>
              <w:bottom w:val="single" w:color="DDDDDD" w:sz="1"/>
              <w:right w:val="single" w:color="DDDDDD" w:sz="1"/>
            </w:tcBorders>
            <w:shd w:fill="EEECEB" w:val="clear"/>
            <w:tcMar>
              <w:top w:type="dxa" w:w="120"/>
              <w:left w:type="dxa" w:w="160"/>
              <w:bottom w:type="dxa" w:w="120"/>
              <w:right w:type="dxa" w:w="160"/>
            </w:tcMar>
          </w:tcPr>
          <w:p>
            <w:pPr>
              <w:spacing w:before="0" w:after="80"/>
            </w:pPr>
            <w:r>
              <w:rPr>
                <w:rFonts w:ascii="Arial" w:cs="Arial" w:eastAsia="Arial" w:hAnsi="Arial"/>
                <w:b/>
                <w:bCs/>
                <w:color w:val="1A1A1A"/>
                <w:sz w:val="22"/>
                <w:szCs w:val="22"/>
              </w:rPr>
              <w:t xml:space="preserve">THREATS</w:t>
            </w:r>
          </w:p>
          <w:p>
            <w:pPr>
              <w:spacing w:before="40" w:after="40"/>
            </w:pPr>
            <w:r>
              <w:rPr>
                <w:rFonts w:ascii="Arial" w:cs="Arial" w:eastAsia="Arial" w:hAnsi="Arial"/>
                <w:color w:val="3D3D3D"/>
                <w:sz w:val="22"/>
                <w:szCs w:val="22"/>
              </w:rPr>
              <w:t xml:space="preserve">  Dubai market overheating reduces value proposition for new buyers</w:t>
            </w:r>
          </w:p>
          <w:p>
            <w:pPr>
              <w:spacing w:before="40" w:after="40"/>
            </w:pPr>
            <w:r>
              <w:rPr>
                <w:rFonts w:ascii="Arial" w:cs="Arial" w:eastAsia="Arial" w:hAnsi="Arial"/>
                <w:color w:val="3D3D3D"/>
                <w:sz w:val="22"/>
                <w:szCs w:val="22"/>
              </w:rPr>
              <w:t xml:space="preserve">  OECD / UAE tax treaty changes could partially reduce Dubai tax advantage</w:t>
            </w:r>
          </w:p>
          <w:p>
            <w:pPr>
              <w:spacing w:before="40" w:after="40"/>
            </w:pPr>
            <w:r>
              <w:rPr>
                <w:rFonts w:ascii="Arial" w:cs="Arial" w:eastAsia="Arial" w:hAnsi="Arial"/>
                <w:color w:val="3D3D3D"/>
                <w:sz w:val="22"/>
                <w:szCs w:val="22"/>
              </w:rPr>
              <w:t xml:space="preserve">  Institutional players (Knight Frank, Savills) could scale UHNWI focus</w:t>
            </w:r>
          </w:p>
          <w:p>
            <w:pPr>
              <w:spacing w:before="40" w:after="40"/>
            </w:pPr>
            <w:r>
              <w:rPr>
                <w:rFonts w:ascii="Arial" w:cs="Arial" w:eastAsia="Arial" w:hAnsi="Arial"/>
                <w:color w:val="3D3D3D"/>
                <w:sz w:val="22"/>
                <w:szCs w:val="22"/>
              </w:rPr>
              <w:t xml:space="preserve">  Global economic shock reducing UHNWI discretionary capital deployment</w:t>
            </w:r>
          </w:p>
        </w:tc>
      </w:tr>
    </w:tbl>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9: IMPLEMENTATION ROADMAP</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9.1 Pre-Launch Checklist — Before Spending Any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FF5F5" w:val="clear"/>
            <w:tcMar>
              <w:top w:type="dxa" w:w="120"/>
              <w:left w:type="dxa" w:w="180"/>
              <w:bottom w:type="dxa" w:w="120"/>
              <w:right w:type="dxa" w:w="160"/>
            </w:tcMar>
          </w:tcPr>
          <w:p>
            <w:r>
              <w:rPr>
                <w:rFonts w:ascii="Arial" w:cs="Arial" w:eastAsia="Arial" w:hAnsi="Arial"/>
                <w:color w:val="8B1A1A"/>
                <w:sz w:val="20"/>
                <w:szCs w:val="20"/>
              </w:rPr>
              <w:t xml:space="preserve">These items must be completed BEFORE company registration and BEFORE any operational spending. Securing demand before supply is the single most important discipline in a success-fee advisory business.</w:t>
            </w:r>
          </w:p>
        </w:tc>
      </w:tr>
    </w:tbl>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000"/>
        <w:gridCol w:w="4480"/>
      </w:tblGrid>
      <w:tr>
        <w:tc>
          <w:tcPr>
            <w:tcW w:type="dxa" w:w="28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Pre-Launch Item</w:t>
            </w:r>
          </w:p>
        </w:tc>
        <w:tc>
          <w:tcPr>
            <w:tcW w:type="dxa" w:w="2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44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Signed LOI or mandate from 3+ UHNWI clients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Before company registration</w:t>
            </w:r>
          </w:p>
        </w:tc>
        <w:tc>
          <w:tcPr>
            <w:tcW w:type="dxa" w:w="44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Validates demand; de-risks Year 1 Bear Case</w:t>
            </w:r>
          </w:p>
        </w:tc>
      </w:tr>
      <w:tr>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Written confirmation from 5+ developer partners (Emaar, Sobha etc.)</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Before company registration</w:t>
            </w:r>
          </w:p>
        </w:tc>
        <w:tc>
          <w:tcPr>
            <w:tcW w:type="dxa" w:w="44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Proves supply-side access; required for credibility</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Verbal commitment from 10+ referral partners</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Before operations launch</w:t>
            </w:r>
          </w:p>
        </w:tc>
        <w:tc>
          <w:tcPr>
            <w:tcW w:type="dxa" w:w="44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Establishes pipeline before CAC spend begins</w:t>
            </w:r>
          </w:p>
        </w:tc>
      </w:tr>
      <w:tr>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RERA licence application submitted</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Month 1</w:t>
            </w:r>
          </w:p>
        </w:tc>
        <w:tc>
          <w:tcPr>
            <w:tcW w:type="dxa" w:w="44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requirement for all UAE real estate advisory</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PI Insurance secured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Before first client meeting</w:t>
            </w:r>
          </w:p>
        </w:tc>
        <w:tc>
          <w:tcPr>
            <w:tcW w:type="dxa" w:w="44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Regulatory and risk management requirement</w:t>
            </w:r>
          </w:p>
        </w:tc>
      </w:tr>
      <w:tr>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NDA templates and engagement letter templates prepared (by lawyer)</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Before first client meeting</w:t>
            </w:r>
          </w:p>
        </w:tc>
        <w:tc>
          <w:tcPr>
            <w:tcW w:type="dxa" w:w="44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protection from Day 1</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9.2 Year 1 Quarterly Milestones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000"/>
        <w:gridCol w:w="2160"/>
      </w:tblGrid>
      <w:tr>
        <w:tc>
          <w:tcPr>
            <w:tcW w:type="dxa" w:w="14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Quarter</w:t>
            </w:r>
          </w:p>
        </w:tc>
        <w:tc>
          <w:tcPr>
            <w:tcW w:type="dxa" w:w="3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Actions</w:t>
            </w:r>
          </w:p>
        </w:tc>
        <w:tc>
          <w:tcPr>
            <w:tcW w:type="dxa" w:w="2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Target</w:t>
            </w:r>
          </w:p>
        </w:tc>
        <w:tc>
          <w:tcPr>
            <w:tcW w:type="dxa" w:w="21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Target</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Q1 (Months 1–3)</w:t>
            </w:r>
          </w:p>
        </w:tc>
        <w:tc>
          <w:tcPr>
            <w:tcW w:type="dxa" w:w="3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Legal entity live; RERA filed; brand &amp; website launched; AI stack deployed; first 5 developer MOUs signed; 20 referral partners activated; first 3 mandates signed</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$0 (pre-completion)</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 active mandates</w:t>
            </w:r>
          </w:p>
        </w:tc>
      </w:tr>
      <w:tr>
        <w:tc>
          <w:tcPr>
            <w:tcW w:type="dxa" w:w="1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Q2 (Months 4–6)</w:t>
            </w:r>
          </w:p>
        </w:tc>
        <w:tc>
          <w:tcPr>
            <w:tcW w:type="dxa" w:w="3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First 3–4 transactions close; referral programme formalised; first private client briefing event hosted; 1,000-prospect AI database live</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$360K – $640K</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 active mandates</w:t>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Q3 (Months 7–9)</w:t>
            </w:r>
          </w:p>
        </w:tc>
        <w:tc>
          <w:tcPr>
            <w:tcW w:type="dxa" w:w="3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Transactions 5–8 close; family office retainer programme piloted; 1,500-prospect database; first international client event (London or Mumbai)</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$480K – $960K cumulative</w:t>
            </w:r>
          </w:p>
        </w:tc>
        <w:tc>
          <w:tcPr>
            <w:tcW w:type="dxa" w:w="2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 active mandates</w:t>
            </w:r>
          </w:p>
        </w:tc>
      </w:tr>
      <w:tr>
        <w:tc>
          <w:tcPr>
            <w:tcW w:type="dxa" w:w="14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Q4 (Months 10–12)</w:t>
            </w:r>
          </w:p>
        </w:tc>
        <w:tc>
          <w:tcPr>
            <w:tcW w:type="dxa" w:w="38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Year-end: 8–12 total transactions; first retainer client signed; Year 2 team hiring initiated; EBITDA-positive confirmed; brand established</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$960K – $1.92M cumulative</w:t>
            </w:r>
          </w:p>
        </w:tc>
        <w:tc>
          <w:tcPr>
            <w:tcW w:type="dxa" w:w="2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Qualified pipeline for Year 2 confirmed</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9.3 Year 2 — Scale &amp; Institutionalisation</w:t>
      </w:r>
    </w:p>
    <w:p>
      <w:pPr>
        <w:pStyle w:val="ListParagraph"/>
        <w:numPr>
          <w:ilvl w:val="0"/>
          <w:numId w:val="2"/>
        </w:numPr>
        <w:spacing w:before="40" w:after="60"/>
      </w:pPr>
      <w:r>
        <w:rPr>
          <w:rFonts w:ascii="Arial" w:cs="Arial" w:eastAsia="Arial" w:hAnsi="Arial"/>
          <w:b/>
          <w:bCs/>
          <w:color w:val="1A1A1A"/>
          <w:sz w:val="22"/>
          <w:szCs w:val="22"/>
        </w:rPr>
        <w:t xml:space="preserve">Team: </w:t>
      </w:r>
      <w:r>
        <w:rPr>
          <w:rFonts w:ascii="Arial" w:cs="Arial" w:eastAsia="Arial" w:hAnsi="Arial"/>
          <w:color w:val="3D3D3D"/>
          <w:sz w:val="22"/>
          <w:szCs w:val="22"/>
        </w:rPr>
        <w:t xml:space="preserve">Hire 2 senior private advisors (1 India-focused, 1 GCC-focused) on 40/60 base/success-fee compensation structure</w:t>
      </w:r>
    </w:p>
    <w:p>
      <w:pPr>
        <w:pStyle w:val="ListParagraph"/>
        <w:numPr>
          <w:ilvl w:val="0"/>
          <w:numId w:val="2"/>
        </w:numPr>
        <w:spacing w:before="40" w:after="60"/>
      </w:pPr>
      <w:r>
        <w:rPr>
          <w:rFonts w:ascii="Arial" w:cs="Arial" w:eastAsia="Arial" w:hAnsi="Arial"/>
          <w:b/>
          <w:bCs/>
          <w:color w:val="1A1A1A"/>
          <w:sz w:val="22"/>
          <w:szCs w:val="22"/>
        </w:rPr>
        <w:t xml:space="preserve">Revenue: </w:t>
      </w:r>
      <w:r>
        <w:rPr>
          <w:rFonts w:ascii="Arial" w:cs="Arial" w:eastAsia="Arial" w:hAnsi="Arial"/>
          <w:color w:val="3D3D3D"/>
          <w:sz w:val="22"/>
          <w:szCs w:val="22"/>
        </w:rPr>
        <w:t xml:space="preserve">Target $4.78M–$9.0M total revenue from 25–35 transactions plus growing retainer base</w:t>
      </w:r>
    </w:p>
    <w:p>
      <w:pPr>
        <w:pStyle w:val="ListParagraph"/>
        <w:numPr>
          <w:ilvl w:val="0"/>
          <w:numId w:val="2"/>
        </w:numPr>
        <w:spacing w:before="40" w:after="60"/>
      </w:pPr>
      <w:r>
        <w:rPr>
          <w:rFonts w:ascii="Arial" w:cs="Arial" w:eastAsia="Arial" w:hAnsi="Arial"/>
          <w:b/>
          <w:bCs/>
          <w:color w:val="1A1A1A"/>
          <w:sz w:val="22"/>
          <w:szCs w:val="22"/>
        </w:rPr>
        <w:t xml:space="preserve">Infrastructure: </w:t>
      </w:r>
      <w:r>
        <w:rPr>
          <w:rFonts w:ascii="Arial" w:cs="Arial" w:eastAsia="Arial" w:hAnsi="Arial"/>
          <w:color w:val="3D3D3D"/>
          <w:sz w:val="22"/>
          <w:szCs w:val="22"/>
        </w:rPr>
        <w:t xml:space="preserve">Formalise all partner agreements; implement ESOP for senior hires; complete DIFC licensing if not done in Year 1</w:t>
      </w:r>
    </w:p>
    <w:p>
      <w:pPr>
        <w:pStyle w:val="ListParagraph"/>
        <w:numPr>
          <w:ilvl w:val="0"/>
          <w:numId w:val="2"/>
        </w:numPr>
        <w:spacing w:before="40" w:after="60"/>
      </w:pPr>
      <w:r>
        <w:rPr>
          <w:rFonts w:ascii="Arial" w:cs="Arial" w:eastAsia="Arial" w:hAnsi="Arial"/>
          <w:b/>
          <w:bCs/>
          <w:color w:val="1A1A1A"/>
          <w:sz w:val="22"/>
          <w:szCs w:val="22"/>
        </w:rPr>
        <w:t xml:space="preserve">Brand: </w:t>
      </w:r>
      <w:r>
        <w:rPr>
          <w:rFonts w:ascii="Arial" w:cs="Arial" w:eastAsia="Arial" w:hAnsi="Arial"/>
          <w:color w:val="3D3D3D"/>
          <w:sz w:val="22"/>
          <w:szCs w:val="22"/>
        </w:rPr>
        <w:t xml:space="preserve">Host first annual PEARL REALTY Family Office Briefing event in Dubai (invite-only, 30–50 attendees)</w:t>
      </w:r>
    </w:p>
    <w:p>
      <w:pPr>
        <w:pStyle w:val="ListParagraph"/>
        <w:numPr>
          <w:ilvl w:val="0"/>
          <w:numId w:val="2"/>
        </w:numPr>
        <w:spacing w:before="40" w:after="60"/>
      </w:pPr>
      <w:r>
        <w:rPr>
          <w:rFonts w:ascii="Arial" w:cs="Arial" w:eastAsia="Arial" w:hAnsi="Arial"/>
          <w:b/>
          <w:bCs/>
          <w:color w:val="1A1A1A"/>
          <w:sz w:val="22"/>
          <w:szCs w:val="22"/>
        </w:rPr>
        <w:t xml:space="preserve">International: </w:t>
      </w:r>
      <w:r>
        <w:rPr>
          <w:rFonts w:ascii="Arial" w:cs="Arial" w:eastAsia="Arial" w:hAnsi="Arial"/>
          <w:color w:val="3D3D3D"/>
          <w:sz w:val="22"/>
          <w:szCs w:val="22"/>
        </w:rPr>
        <w:t xml:space="preserve">Establish London and Mumbai advisory relationships through senior advisor hires in those markets</w:t>
      </w:r>
    </w:p>
    <w:p>
      <w:pPr>
        <w:pStyle w:val="ListParagraph"/>
        <w:numPr>
          <w:ilvl w:val="0"/>
          <w:numId w:val="2"/>
        </w:numPr>
        <w:spacing w:before="40" w:after="60"/>
      </w:pPr>
      <w:r>
        <w:rPr>
          <w:rFonts w:ascii="Arial" w:cs="Arial" w:eastAsia="Arial" w:hAnsi="Arial"/>
          <w:b/>
          <w:bCs/>
          <w:color w:val="1A1A1A"/>
          <w:sz w:val="22"/>
          <w:szCs w:val="22"/>
        </w:rPr>
        <w:t xml:space="preserve">AUM: </w:t>
      </w:r>
      <w:r>
        <w:rPr>
          <w:rFonts w:ascii="Arial" w:cs="Arial" w:eastAsia="Arial" w:hAnsi="Arial"/>
          <w:color w:val="3D3D3D"/>
          <w:sz w:val="22"/>
          <w:szCs w:val="22"/>
        </w:rPr>
        <w:t xml:space="preserve">Cumulative advised deal volume to reach $400M</w:t>
      </w:r>
    </w:p>
    <w:p>
      <w:pPr>
        <w:spacing w:before="60" w:after="6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9.4 Year 3 — $1B Milestone</w:t>
      </w:r>
    </w:p>
    <w:p>
      <w:pPr>
        <w:pStyle w:val="ListParagraph"/>
        <w:numPr>
          <w:ilvl w:val="0"/>
          <w:numId w:val="2"/>
        </w:numPr>
        <w:spacing w:before="40" w:after="60"/>
      </w:pPr>
      <w:r>
        <w:rPr>
          <w:rFonts w:ascii="Arial" w:cs="Arial" w:eastAsia="Arial" w:hAnsi="Arial"/>
          <w:b/>
          <w:bCs/>
          <w:color w:val="1A1A1A"/>
          <w:sz w:val="22"/>
          <w:szCs w:val="22"/>
        </w:rPr>
        <w:t xml:space="preserve">Deal volume: </w:t>
      </w:r>
      <w:r>
        <w:rPr>
          <w:rFonts w:ascii="Arial" w:cs="Arial" w:eastAsia="Arial" w:hAnsi="Arial"/>
          <w:color w:val="3D3D3D"/>
          <w:sz w:val="22"/>
          <w:szCs w:val="22"/>
        </w:rPr>
        <w:t xml:space="preserve">Deploy cumulative $1B in advised transaction volume</w:t>
      </w:r>
    </w:p>
    <w:p>
      <w:pPr>
        <w:pStyle w:val="ListParagraph"/>
        <w:numPr>
          <w:ilvl w:val="0"/>
          <w:numId w:val="2"/>
        </w:numPr>
        <w:spacing w:before="40" w:after="60"/>
      </w:pPr>
      <w:r>
        <w:rPr>
          <w:rFonts w:ascii="Arial" w:cs="Arial" w:eastAsia="Arial" w:hAnsi="Arial"/>
          <w:b/>
          <w:bCs/>
          <w:color w:val="1A1A1A"/>
          <w:sz w:val="22"/>
          <w:szCs w:val="22"/>
        </w:rPr>
        <w:t xml:space="preserve">Team: </w:t>
      </w:r>
      <w:r>
        <w:rPr>
          <w:rFonts w:ascii="Arial" w:cs="Arial" w:eastAsia="Arial" w:hAnsi="Arial"/>
          <w:color w:val="3D3D3D"/>
          <w:sz w:val="22"/>
          <w:szCs w:val="22"/>
        </w:rPr>
        <w:t xml:space="preserve">10–13 total headcount including 4–5 senior advisors and 2 regional relationship managers</w:t>
      </w:r>
    </w:p>
    <w:p>
      <w:pPr>
        <w:pStyle w:val="ListParagraph"/>
        <w:numPr>
          <w:ilvl w:val="0"/>
          <w:numId w:val="2"/>
        </w:numPr>
        <w:spacing w:before="40" w:after="60"/>
      </w:pPr>
      <w:r>
        <w:rPr>
          <w:rFonts w:ascii="Arial" w:cs="Arial" w:eastAsia="Arial" w:hAnsi="Arial"/>
          <w:b/>
          <w:bCs/>
          <w:color w:val="1A1A1A"/>
          <w:sz w:val="22"/>
          <w:szCs w:val="22"/>
        </w:rPr>
        <w:t xml:space="preserve">Geographic presence: </w:t>
      </w:r>
      <w:r>
        <w:rPr>
          <w:rFonts w:ascii="Arial" w:cs="Arial" w:eastAsia="Arial" w:hAnsi="Arial"/>
          <w:color w:val="3D3D3D"/>
          <w:sz w:val="22"/>
          <w:szCs w:val="22"/>
        </w:rPr>
        <w:t xml:space="preserve">Formal advisory presence in London and Singapore in addition to Dubai HQ</w:t>
      </w:r>
    </w:p>
    <w:p>
      <w:pPr>
        <w:pStyle w:val="ListParagraph"/>
        <w:numPr>
          <w:ilvl w:val="0"/>
          <w:numId w:val="2"/>
        </w:numPr>
        <w:spacing w:before="40" w:after="60"/>
      </w:pPr>
      <w:r>
        <w:rPr>
          <w:rFonts w:ascii="Arial" w:cs="Arial" w:eastAsia="Arial" w:hAnsi="Arial"/>
          <w:b/>
          <w:bCs/>
          <w:color w:val="1A1A1A"/>
          <w:sz w:val="22"/>
          <w:szCs w:val="22"/>
        </w:rPr>
        <w:t xml:space="preserve">Product expansion: </w:t>
      </w:r>
      <w:r>
        <w:rPr>
          <w:rFonts w:ascii="Arial" w:cs="Arial" w:eastAsia="Arial" w:hAnsi="Arial"/>
          <w:color w:val="3D3D3D"/>
          <w:sz w:val="22"/>
          <w:szCs w:val="22"/>
        </w:rPr>
        <w:t xml:space="preserve">Launch PEARL REALTY Family Office Membership Network — annual membership with exclusive market briefings, deal flow, and peer networking</w:t>
      </w:r>
    </w:p>
    <w:p>
      <w:pPr>
        <w:pStyle w:val="ListParagraph"/>
        <w:numPr>
          <w:ilvl w:val="0"/>
          <w:numId w:val="2"/>
        </w:numPr>
        <w:spacing w:before="40" w:after="60"/>
      </w:pPr>
      <w:r>
        <w:rPr>
          <w:rFonts w:ascii="Arial" w:cs="Arial" w:eastAsia="Arial" w:hAnsi="Arial"/>
          <w:b/>
          <w:bCs/>
          <w:color w:val="1A1A1A"/>
          <w:sz w:val="22"/>
          <w:szCs w:val="22"/>
        </w:rPr>
        <w:t xml:space="preserve">Strategic review: </w:t>
      </w:r>
      <w:r>
        <w:rPr>
          <w:rFonts w:ascii="Arial" w:cs="Arial" w:eastAsia="Arial" w:hAnsi="Arial"/>
          <w:color w:val="3D3D3D"/>
          <w:sz w:val="22"/>
          <w:szCs w:val="22"/>
        </w:rPr>
        <w:t xml:space="preserve">Evaluate Pathway A (acquisition), Pathway B (PE investment), or Pathway C (partnership model) — see Section 2.4</w:t>
      </w:r>
    </w:p>
    <w:p>
      <w:pPr>
        <w:pStyle w:val="ListParagraph"/>
        <w:numPr>
          <w:ilvl w:val="0"/>
          <w:numId w:val="2"/>
        </w:numPr>
        <w:spacing w:before="40" w:after="60"/>
      </w:pPr>
      <w:r>
        <w:rPr>
          <w:rFonts w:ascii="Arial" w:cs="Arial" w:eastAsia="Arial" w:hAnsi="Arial"/>
          <w:b/>
          <w:bCs/>
          <w:color w:val="1A1A1A"/>
          <w:sz w:val="22"/>
          <w:szCs w:val="22"/>
        </w:rPr>
        <w:t xml:space="preserve">EBITDA: </w:t>
      </w:r>
      <w:r>
        <w:rPr>
          <w:rFonts w:ascii="Arial" w:cs="Arial" w:eastAsia="Arial" w:hAnsi="Arial"/>
          <w:color w:val="3D3D3D"/>
          <w:sz w:val="22"/>
          <w:szCs w:val="22"/>
        </w:rPr>
        <w:t xml:space="preserve">Target $12M–$23M EBITDA — placing the business firmly in PE-acquisition territory at 3–5x multiple</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9.5 Key Performance Indicators — Dashboard</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000"/>
        <w:gridCol w:w="1440"/>
        <w:gridCol w:w="1440"/>
        <w:gridCol w:w="1440"/>
        <w:gridCol w:w="1720"/>
      </w:tblGrid>
      <w:tr>
        <w:tc>
          <w:tcPr>
            <w:tcW w:type="dxa" w:w="13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Category</w:t>
            </w:r>
          </w:p>
        </w:tc>
        <w:tc>
          <w:tcPr>
            <w:tcW w:type="dxa" w:w="20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 Target</w:t>
            </w:r>
          </w:p>
        </w:tc>
        <w:tc>
          <w:tcPr>
            <w:tcW w:type="dxa" w:w="1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 Target</w:t>
            </w:r>
          </w:p>
        </w:tc>
        <w:tc>
          <w:tcPr>
            <w:tcW w:type="dxa" w:w="144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 Target</w:t>
            </w:r>
          </w:p>
        </w:tc>
        <w:tc>
          <w:tcPr>
            <w:tcW w:type="dxa" w:w="172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Measurement Frequency</w:t>
            </w:r>
          </w:p>
        </w:tc>
      </w:tr>
      <w:tr>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Revenue</w:t>
            </w:r>
          </w:p>
        </w:tc>
        <w:tc>
          <w:tcPr>
            <w:tcW w:type="dxa" w:w="2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advised deal volume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$64M – $96M</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$275M – $385M</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$840M – $1,120M</w:t>
            </w:r>
          </w:p>
        </w:tc>
        <w:tc>
          <w:tcPr>
            <w:tcW w:type="dxa" w:w="17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Monthly</w:t>
            </w:r>
          </w:p>
        </w:tc>
      </w:tr>
      <w:tr>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Revenue</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Advisory fee revenue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$960K – $1.92M</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$4.1M – $7.7M</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$12.6M – $22.4M</w:t>
            </w:r>
          </w:p>
        </w:tc>
        <w:tc>
          <w:tcPr>
            <w:tcW w:type="dxa" w:w="17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Monthly</w:t>
            </w:r>
          </w:p>
        </w:tc>
      </w:tr>
      <w:tr>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Activity</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Transactions closed</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 – 12</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25 – 35</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 – 80</w:t>
            </w:r>
          </w:p>
        </w:tc>
        <w:tc>
          <w:tcPr>
            <w:tcW w:type="dxa" w:w="17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Monthly</w:t>
            </w:r>
          </w:p>
        </w:tc>
      </w:tr>
      <w:tr>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Activity</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Active mandates in pipeline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10 – 15</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 – 45</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70 – 90</w:t>
            </w:r>
          </w:p>
        </w:tc>
        <w:tc>
          <w:tcPr>
            <w:tcW w:type="dxa" w:w="17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Weekly</w:t>
            </w:r>
          </w:p>
        </w:tc>
      </w:tr>
      <w:tr>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Pipeline</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Qualified prospects in CRM</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2,000+</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4,000+</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7,500+</w:t>
            </w:r>
          </w:p>
        </w:tc>
        <w:tc>
          <w:tcPr>
            <w:tcW w:type="dxa" w:w="17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Monthly</w:t>
            </w:r>
          </w:p>
        </w:tc>
      </w:tr>
      <w:tr>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Pipeline</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Referral partner meetings</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15 – 20 partners</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 – 40 partners</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60+ partners</w:t>
            </w:r>
          </w:p>
        </w:tc>
        <w:tc>
          <w:tcPr>
            <w:tcW w:type="dxa" w:w="17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Quarterly</w:t>
            </w:r>
          </w:p>
        </w:tc>
      </w:tr>
      <w:tr>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 retention rate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&gt; 80%</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&gt; 85%</w:t>
            </w:r>
          </w:p>
        </w:tc>
        <w:tc>
          <w:tcPr>
            <w:tcW w:type="dxa" w:w="17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Annually</w:t>
            </w:r>
          </w:p>
        </w:tc>
      </w:tr>
      <w:tr>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Client</w:t>
            </w:r>
          </w:p>
        </w:tc>
        <w:tc>
          <w:tcPr>
            <w:tcW w:type="dxa" w:w="2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Net Promoter Score</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Target &gt; 80</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Target &gt; 85</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Target &gt; 90</w:t>
            </w:r>
          </w:p>
        </w:tc>
        <w:tc>
          <w:tcPr>
            <w:tcW w:type="dxa" w:w="17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Per engagement</w:t>
            </w:r>
          </w:p>
        </w:tc>
      </w:tr>
      <w:tr>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Financial</w:t>
            </w:r>
          </w:p>
        </w:tc>
        <w:tc>
          <w:tcPr>
            <w:tcW w:type="dxa" w:w="20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EBITDA margin</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28% – 63%</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61% – 79%</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77% – 87%</w:t>
            </w:r>
          </w:p>
        </w:tc>
        <w:tc>
          <w:tcPr>
            <w:tcW w:type="dxa" w:w="17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Quarterly</w:t>
            </w:r>
          </w:p>
        </w:tc>
      </w:tr>
      <w:tr>
        <w:tc>
          <w:tcPr>
            <w:tcW w:type="dxa" w:w="13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Financial</w:t>
            </w:r>
          </w:p>
        </w:tc>
        <w:tc>
          <w:tcPr>
            <w:tcW w:type="dxa" w:w="20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CAC per transaction</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&lt; $45K</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&lt; $35K</w:t>
            </w:r>
          </w:p>
        </w:tc>
        <w:tc>
          <w:tcPr>
            <w:tcW w:type="dxa" w:w="144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&lt; $25K</w:t>
            </w:r>
          </w:p>
        </w:tc>
        <w:tc>
          <w:tcPr>
            <w:tcW w:type="dxa" w:w="172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Quarterly</w:t>
            </w:r>
          </w:p>
        </w:tc>
      </w:tr>
      <w:tr>
        <w:tc>
          <w:tcPr>
            <w:tcW w:type="dxa" w:w="13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Operational</w:t>
            </w:r>
          </w:p>
        </w:tc>
        <w:tc>
          <w:tcPr>
            <w:tcW w:type="dxa" w:w="20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Avg. days: mandate to close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&lt; 90 days</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&lt; 75 days</w:t>
            </w:r>
          </w:p>
        </w:tc>
        <w:tc>
          <w:tcPr>
            <w:tcW w:type="dxa" w:w="144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&lt; 60 days</w:t>
            </w:r>
          </w:p>
        </w:tc>
        <w:tc>
          <w:tcPr>
            <w:tcW w:type="dxa" w:w="172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Per transaction</w:t>
            </w:r>
          </w:p>
        </w:tc>
      </w:tr>
    </w:tbl>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10: LEGAL, REGULATORY &amp; COMPLIANCE FRAMEWORK</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10.1 Legal Entity Decision Framework</w:t>
      </w:r>
    </w:p>
    <w:p>
      <w:pPr>
        <w:spacing w:before="60" w:after="80"/>
        <w:jc w:val="both"/>
      </w:pPr>
      <w:r>
        <w:rPr>
          <w:rFonts w:ascii="Arial" w:cs="Arial" w:eastAsia="Arial" w:hAnsi="Arial"/>
          <w:color w:val="3D3D3D"/>
          <w:sz w:val="22"/>
          <w:szCs w:val="22"/>
        </w:rPr>
        <w:t xml:space="preserve">PEARL REALTY has two credible structural options. This plan recommends a decision no later than 60 days before operations commence. This is not optional — operating as an unlicensed advisory business in UAE is a regulatory violation.</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28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Advantages</w:t>
            </w:r>
          </w:p>
        </w:tc>
        <w:tc>
          <w:tcPr>
            <w:tcW w:type="dxa" w:w="28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Disadvantages</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For</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Mainland LLC</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Lower setup cost ($5K–$15K); simpler compliance; good for UAE-domiciled clients</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Less credible to international family offices; limited investment advisory scope; UAE civil law applies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If client base is primarily GCC-based</w:t>
            </w:r>
          </w:p>
        </w:tc>
      </w:tr>
      <w:tr>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DIFC Prescribed Company + DFSA Advisory Licence</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English common law; internationally credible to global family offices; full investment advisory scope; preferred by private banks</w:t>
            </w:r>
          </w:p>
        </w:tc>
        <w:tc>
          <w:tcPr>
            <w:tcW w:type="dxa" w:w="28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Higher setup cost ($25K–$60K); ongoing compliance requirements; quarterly regulatory reporting</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RECOMMENDED — if target is global UHNWI families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Dual Structure (Mainland + DIFC)</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Maximum flexibility; serve both local and international clients</w:t>
            </w:r>
          </w:p>
        </w:tc>
        <w:tc>
          <w:tcPr>
            <w:tcW w:type="dxa" w:w="28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Higher ongoing cost; more complex compliance management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Year 2+ when volumes justify</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10.2 Licence Requirements — Checklist</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80"/>
        <w:gridCol w:w="1300"/>
        <w:gridCol w:w="1300"/>
        <w:gridCol w:w="1100"/>
        <w:gridCol w:w="1480"/>
      </w:tblGrid>
      <w:tr>
        <w:tc>
          <w:tcPr>
            <w:tcW w:type="dxa" w:w="22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Licence / Registration</w:t>
            </w:r>
          </w:p>
        </w:tc>
        <w:tc>
          <w:tcPr>
            <w:tcW w:type="dxa" w:w="198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Issuing Authority</w:t>
            </w:r>
          </w:p>
        </w:tc>
        <w:tc>
          <w:tcPr>
            <w:tcW w:type="dxa" w:w="13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(Est.)</w:t>
            </w:r>
          </w:p>
        </w:tc>
        <w:tc>
          <w:tcPr>
            <w:tcW w:type="dxa" w:w="13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11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RERA Broker Licence</w:t>
            </w:r>
          </w:p>
        </w:tc>
        <w:tc>
          <w:tcPr>
            <w:tcW w:type="dxa" w:w="19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Real Estate Regulatory Agency</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5,500–15,000</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2–4 weeks</w:t>
            </w:r>
          </w:p>
        </w:tc>
        <w:tc>
          <w:tcPr>
            <w:tcW w:type="dxa" w:w="11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To be filed Q2 2026</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DIFC Entity Registration</w:t>
            </w:r>
          </w:p>
        </w:tc>
        <w:tc>
          <w:tcPr>
            <w:tcW w:type="dxa" w:w="19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DIFC Authority</w:t>
            </w:r>
          </w:p>
        </w:tc>
        <w:tc>
          <w:tcPr>
            <w:tcW w:type="dxa" w:w="1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10,000–25,000</w:t>
            </w:r>
          </w:p>
        </w:tc>
        <w:tc>
          <w:tcPr>
            <w:tcW w:type="dxa" w:w="1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3–6 weeks</w:t>
            </w:r>
          </w:p>
        </w:tc>
        <w:tc>
          <w:tcPr>
            <w:tcW w:type="dxa" w:w="1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Under evaluation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DFSA Advisory Authorisation</w:t>
            </w:r>
          </w:p>
        </w:tc>
        <w:tc>
          <w:tcPr>
            <w:tcW w:type="dxa" w:w="19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Financial Services Authority</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25,000–75,000</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3–6 months</w:t>
            </w:r>
          </w:p>
        </w:tc>
        <w:tc>
          <w:tcPr>
            <w:tcW w:type="dxa" w:w="11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Year 2 — if investment advisory scope required</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DLD Broker Registration</w:t>
            </w:r>
          </w:p>
        </w:tc>
        <w:tc>
          <w:tcPr>
            <w:tcW w:type="dxa" w:w="19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Dubai Land Department</w:t>
            </w:r>
          </w:p>
        </w:tc>
        <w:tc>
          <w:tcPr>
            <w:tcW w:type="dxa" w:w="1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1,000–3,000</w:t>
            </w:r>
          </w:p>
        </w:tc>
        <w:tc>
          <w:tcPr>
            <w:tcW w:type="dxa" w:w="1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1–2 weeks</w:t>
            </w:r>
          </w:p>
        </w:tc>
        <w:tc>
          <w:tcPr>
            <w:tcW w:type="dxa" w:w="1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Required before first transaction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GDRFA Golden Visa Partner</w:t>
            </w:r>
          </w:p>
        </w:tc>
        <w:tc>
          <w:tcPr>
            <w:tcW w:type="dxa" w:w="198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GDRFA Dubai</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3,000–10,000</w:t>
            </w:r>
          </w:p>
        </w:tc>
        <w:tc>
          <w:tcPr>
            <w:tcW w:type="dxa" w:w="1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2–4 weeks</w:t>
            </w:r>
          </w:p>
        </w:tc>
        <w:tc>
          <w:tcPr>
            <w:tcW w:type="dxa" w:w="11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Required before offering visa services</w:t>
            </w:r>
          </w:p>
        </w:tc>
      </w:tr>
      <w:tr>
        <w:tc>
          <w:tcPr>
            <w:tcW w:type="dxa" w:w="22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Trade Licence</w:t>
            </w:r>
          </w:p>
        </w:tc>
        <w:tc>
          <w:tcPr>
            <w:tcW w:type="dxa" w:w="198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DED (Mainland) or DIFC Authority</w:t>
            </w:r>
          </w:p>
        </w:tc>
        <w:tc>
          <w:tcPr>
            <w:tcW w:type="dxa" w:w="1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AED 15,000–30,000</w:t>
            </w:r>
          </w:p>
        </w:tc>
        <w:tc>
          <w:tcPr>
            <w:tcW w:type="dxa" w:w="13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1–3 weeks</w:t>
            </w:r>
          </w:p>
        </w:tc>
        <w:tc>
          <w:tcPr>
            <w:tcW w:type="dxa" w:w="11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Required before company operations</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10.3 AML &amp; KYC Framework</w:t>
      </w:r>
    </w:p>
    <w:p>
      <w:pPr>
        <w:spacing w:before="60" w:after="80"/>
        <w:jc w:val="both"/>
      </w:pPr>
      <w:r>
        <w:rPr>
          <w:rFonts w:ascii="Arial" w:cs="Arial" w:eastAsia="Arial" w:hAnsi="Arial"/>
          <w:color w:val="3D3D3D"/>
          <w:sz w:val="22"/>
          <w:szCs w:val="22"/>
        </w:rPr>
        <w:t xml:space="preserve">All clients undergo a mandatory Know Your Customer (KYC) process aligned with UAE Federal AML Law No. 20 of 2018 and subsequent amendments. The following protocol is non-negotiable and will be formalised in the company compliance manual:</w:t>
      </w:r>
    </w:p>
    <w:p>
      <w:pPr>
        <w:pStyle w:val="ListParagraph"/>
        <w:numPr>
          <w:ilvl w:val="0"/>
          <w:numId w:val="2"/>
        </w:numPr>
        <w:spacing w:before="40" w:after="60"/>
      </w:pPr>
      <w:r>
        <w:rPr>
          <w:rFonts w:ascii="Arial" w:cs="Arial" w:eastAsia="Arial" w:hAnsi="Arial"/>
          <w:b/>
          <w:bCs/>
          <w:color w:val="1A1A1A"/>
          <w:sz w:val="22"/>
          <w:szCs w:val="22"/>
        </w:rPr>
        <w:t xml:space="preserve">KYC Tier 1 (All clients): </w:t>
      </w:r>
      <w:r>
        <w:rPr>
          <w:rFonts w:ascii="Arial" w:cs="Arial" w:eastAsia="Arial" w:hAnsi="Arial"/>
          <w:color w:val="3D3D3D"/>
          <w:sz w:val="22"/>
          <w:szCs w:val="22"/>
        </w:rPr>
        <w:t xml:space="preserve">Government-issued ID, proof of address, source of funds declaration, PEP screening, sanctions check against OFAC, UN, and EU lists</w:t>
      </w:r>
    </w:p>
    <w:p>
      <w:pPr>
        <w:pStyle w:val="ListParagraph"/>
        <w:numPr>
          <w:ilvl w:val="0"/>
          <w:numId w:val="2"/>
        </w:numPr>
        <w:spacing w:before="40" w:after="60"/>
      </w:pPr>
      <w:r>
        <w:rPr>
          <w:rFonts w:ascii="Arial" w:cs="Arial" w:eastAsia="Arial" w:hAnsi="Arial"/>
          <w:b/>
          <w:bCs/>
          <w:color w:val="1A1A1A"/>
          <w:sz w:val="22"/>
          <w:szCs w:val="22"/>
        </w:rPr>
        <w:t xml:space="preserve">KYC Tier 2 (Transactions &gt;AED 1M): </w:t>
      </w:r>
      <w:r>
        <w:rPr>
          <w:rFonts w:ascii="Arial" w:cs="Arial" w:eastAsia="Arial" w:hAnsi="Arial"/>
          <w:color w:val="3D3D3D"/>
          <w:sz w:val="22"/>
          <w:szCs w:val="22"/>
        </w:rPr>
        <w:t xml:space="preserve">Enhanced due diligence including independent wealth verification, ultimate beneficial owner (UBO) declaration, and enhanced source of funds documentation</w:t>
      </w:r>
    </w:p>
    <w:p>
      <w:pPr>
        <w:pStyle w:val="ListParagraph"/>
        <w:numPr>
          <w:ilvl w:val="0"/>
          <w:numId w:val="2"/>
        </w:numPr>
        <w:spacing w:before="40" w:after="60"/>
      </w:pPr>
      <w:r>
        <w:rPr>
          <w:rFonts w:ascii="Arial" w:cs="Arial" w:eastAsia="Arial" w:hAnsi="Arial"/>
          <w:b/>
          <w:bCs/>
          <w:color w:val="1A1A1A"/>
          <w:sz w:val="22"/>
          <w:szCs w:val="22"/>
        </w:rPr>
        <w:t xml:space="preserve">KYC Tier 3 (PEPs / High-Risk Jurisdictions): </w:t>
      </w:r>
      <w:r>
        <w:rPr>
          <w:rFonts w:ascii="Arial" w:cs="Arial" w:eastAsia="Arial" w:hAnsi="Arial"/>
          <w:color w:val="3D3D3D"/>
          <w:sz w:val="22"/>
          <w:szCs w:val="22"/>
        </w:rPr>
        <w:t xml:space="preserve">Mandatory senior approval (founder sign-off), enhanced monitoring, and quarterly file review</w:t>
      </w:r>
    </w:p>
    <w:p>
      <w:pPr>
        <w:pStyle w:val="ListParagraph"/>
        <w:numPr>
          <w:ilvl w:val="0"/>
          <w:numId w:val="2"/>
        </w:numPr>
        <w:spacing w:before="40" w:after="60"/>
      </w:pPr>
      <w:r>
        <w:rPr>
          <w:rFonts w:ascii="Arial" w:cs="Arial" w:eastAsia="Arial" w:hAnsi="Arial"/>
          <w:b/>
          <w:bCs/>
          <w:color w:val="1A1A1A"/>
          <w:sz w:val="22"/>
          <w:szCs w:val="22"/>
        </w:rPr>
        <w:t xml:space="preserve">Ongoing monitoring: </w:t>
      </w:r>
      <w:r>
        <w:rPr>
          <w:rFonts w:ascii="Arial" w:cs="Arial" w:eastAsia="Arial" w:hAnsi="Arial"/>
          <w:color w:val="3D3D3D"/>
          <w:sz w:val="22"/>
          <w:szCs w:val="22"/>
        </w:rPr>
        <w:t xml:space="preserve">All client transactions are logged in HubSpot with full audit trail. Suspicious transaction reports (STRs) filed with UAE FIU within 24 hours if triggered</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10.4 Insurance Requirements</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Insurance Type</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Coverage</w:t>
            </w:r>
          </w:p>
        </w:tc>
        <w:tc>
          <w:tcPr>
            <w:tcW w:type="dxa" w:w="180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Cost (Est.)</w:t>
            </w:r>
          </w:p>
        </w:tc>
        <w:tc>
          <w:tcPr>
            <w:tcW w:type="dxa" w:w="3160"/>
            <w:tcBorders>
              <w:top w:val="single" w:color="B8972A" w:sz="1"/>
              <w:left w:val="single" w:color="B8972A" w:sz="1"/>
              <w:bottom w:val="single" w:color="B8972A" w:sz="1"/>
              <w:right w:val="single" w:color="B8972A" w:sz="1"/>
            </w:tcBorders>
            <w:shd w:fill="1A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Professional Indemnity (PI)</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$2M–$5M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$8,000–$20,000</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Protects against client claims arising from advisory advice</w:t>
            </w:r>
          </w:p>
        </w:tc>
      </w:tr>
      <w:tr>
        <w:tc>
          <w:tcPr>
            <w:tcW w:type="dxa" w:w="2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Directors &amp; Officers (D&amp;O)</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$1M–$2M</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$5,000–$12,000</w:t>
            </w:r>
          </w:p>
        </w:tc>
        <w:tc>
          <w:tcPr>
            <w:tcW w:type="dxa" w:w="3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Protects founder/directors against personal liability</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Cyber Liability</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$1M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$3,000–$8,000</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Protects against data breach, system compromise</w:t>
            </w:r>
          </w:p>
        </w:tc>
      </w:tr>
      <w:tr>
        <w:tc>
          <w:tcPr>
            <w:tcW w:type="dxa" w:w="26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Key Person Life Insurance</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$2M (on Founder)</w:t>
            </w:r>
          </w:p>
        </w:tc>
        <w:tc>
          <w:tcPr>
            <w:tcW w:type="dxa" w:w="180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$4,000–$10,000</w:t>
            </w:r>
          </w:p>
        </w:tc>
        <w:tc>
          <w:tcPr>
            <w:tcW w:type="dxa" w:w="3160"/>
            <w:tcBorders>
              <w:top w:val="single" w:color="DDDDDD" w:sz="1"/>
              <w:left w:val="single" w:color="DDDDDD" w:sz="1"/>
              <w:bottom w:val="single" w:color="DDDDDD" w:sz="1"/>
              <w:right w:val="single" w:color="DDDDDD" w:sz="1"/>
            </w:tcBorders>
            <w:shd w:fill="EEECEB"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Business continuity if founder incapacitated</w:t>
            </w:r>
          </w:p>
        </w:tc>
      </w:tr>
      <w:tr>
        <w:tc>
          <w:tcPr>
            <w:tcW w:type="dxa" w:w="2600"/>
            <w:tcBorders>
              <w:top w:val="single" w:color="DDDDDD" w:sz="1"/>
              <w:left w:val="single" w:color="DDDDDD" w:sz="1"/>
              <w:bottom w:val="single" w:color="DDDDDD" w:sz="1"/>
              <w:right w:val="single" w:color="DDDDDD" w:sz="1"/>
            </w:tcBorders>
            <w:shd w:fill="F5F2EA" w:val="clear"/>
            <w:tcMar>
              <w:top w:type="dxa" w:w="70"/>
              <w:left w:type="dxa" w:w="110"/>
              <w:bottom w:type="dxa" w:w="70"/>
              <w:right w:type="dxa" w:w="110"/>
            </w:tcMar>
            <w:vAlign w:val="center"/>
          </w:tcPr>
          <w:p>
            <w:pPr>
              <w:jc w:val="left"/>
            </w:pPr>
            <w:r>
              <w:rPr>
                <w:rFonts w:ascii="Arial" w:cs="Arial" w:eastAsia="Arial" w:hAnsi="Arial"/>
                <w:b/>
                <w:bCs/>
                <w:color w:val="1A1A1A"/>
                <w:sz w:val="21"/>
                <w:szCs w:val="21"/>
              </w:rPr>
              <w:t xml:space="preserve">TOTAL ANNUAL INSURANCE COST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$20,000–$50,000</w:t>
            </w:r>
          </w:p>
        </w:tc>
        <w:tc>
          <w:tcPr>
            <w:tcW w:type="dxa" w:w="31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3D3D3D"/>
                <w:sz w:val="20"/>
                <w:szCs w:val="20"/>
              </w:rPr>
              <w:t xml:space="preserve">Included in legal/compliance budget</w:t>
            </w:r>
          </w:p>
        </w:tc>
      </w:tr>
    </w:tbl>
    <w:p>
      <w:pPr>
        <w:spacing w:before="80" w:after="8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8940"/>
      </w:tblGrid>
      <w:tr>
        <w:tc>
          <w:tcPr>
            <w:tcW w:type="dxa" w:w="420"/>
            <w:tcBorders>
              <w:top w:val="none" w:color="FFFFFF" w:sz="0"/>
              <w:left w:val="none" w:color="FFFFFF" w:sz="0"/>
              <w:bottom w:val="none" w:color="FFFFFF" w:sz="0"/>
              <w:right w:val="none" w:color="FFFFFF" w:sz="0"/>
            </w:tcBorders>
            <w:shd w:fill="B8972A"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LEGAL NOTE</w:t>
            </w:r>
          </w:p>
        </w:tc>
        <w:tc>
          <w:tcPr>
            <w:tcW w:type="dxa" w:w="8940"/>
            <w:tcBorders>
              <w:top w:val="single" w:color="B8972A" w:sz="1"/>
              <w:left w:val="none" w:color="FFFFFF" w:sz="0"/>
              <w:bottom w:val="single" w:color="B8972A" w:sz="1"/>
              <w:right w:val="single" w:color="B8972A" w:sz="1"/>
            </w:tcBorders>
            <w:shd w:fill="F5F2EA" w:val="clear"/>
            <w:tcMar>
              <w:top w:type="dxa" w:w="100"/>
              <w:left w:type="dxa" w:w="160"/>
              <w:bottom w:type="dxa" w:w="100"/>
              <w:right w:type="dxa" w:w="140"/>
            </w:tcMar>
          </w:tcPr>
          <w:p>
            <w:r>
              <w:rPr>
                <w:rFonts w:ascii="Arial" w:cs="Arial" w:eastAsia="Arial" w:hAnsi="Arial"/>
                <w:i/>
                <w:iCs/>
                <w:color w:val="1A1A1A"/>
                <w:sz w:val="21"/>
                <w:szCs w:val="21"/>
              </w:rPr>
              <w:t xml:space="preserve">This business plan is a strictly private and confidential document prepared for Raghunath Nallamuthu and authorised recipients only. Financial projections are estimates only and do not constitute a guarantee. This document does not constitute an offer of securities, financial advice, or investment products. All regulatory structures described are subject to legal counsel review and applicable UAE law.</w:t>
            </w:r>
          </w:p>
        </w:tc>
      </w:tr>
    </w:tbl>
    <w:p>
      <w:r>
        <w:br w:type="page"/>
      </w:r>
    </w:p>
    <w:p>
      <w:pPr>
        <w:pStyle w:val="Heading1"/>
        <w:pBdr>
          <w:top w:val="none" w:color="FFFFFF" w:sz="0"/>
          <w:left w:val="none" w:color="FFFFFF" w:sz="0"/>
          <w:bottom w:val="single" w:color="B8972A" w:sz="8" w:space="1"/>
          <w:right w:val="none" w:color="FFFFFF" w:sz="0"/>
        </w:pBdr>
        <w:spacing w:before="400" w:after="160"/>
      </w:pPr>
      <w:r>
        <w:rPr>
          <w:rFonts w:ascii="Arial" w:cs="Arial" w:eastAsia="Arial" w:hAnsi="Arial"/>
          <w:b/>
          <w:bCs/>
          <w:color w:val="1A1A1A"/>
          <w:sz w:val="36"/>
          <w:szCs w:val="36"/>
        </w:rPr>
        <w:t xml:space="preserve">SECTION 11: CONCLUSION &amp; INVESTMENT CASE</w:t>
      </w:r>
    </w:p>
    <w:p>
      <w:pPr>
        <w:spacing w:before="20" w:after="2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11.1 Why PEARL REALTY Wins</w:t>
      </w:r>
    </w:p>
    <w:p>
      <w:pPr>
        <w:spacing w:before="60" w:after="80"/>
        <w:jc w:val="both"/>
      </w:pPr>
      <w:r>
        <w:rPr>
          <w:rFonts w:ascii="Arial" w:cs="Arial" w:eastAsia="Arial" w:hAnsi="Arial"/>
          <w:color w:val="3D3D3D"/>
          <w:sz w:val="22"/>
          <w:szCs w:val="22"/>
        </w:rPr>
        <w:t xml:space="preserve">The private real estate advisory market for ultra-high net worth families in Dubai is at an inflection point. The demand is structural, the advisory gap is real, and the window for establishing a dominant brand is finite.</w:t>
      </w:r>
    </w:p>
    <w:p>
      <w:pPr>
        <w:spacing w:before="60" w:after="80"/>
        <w:jc w:val="both"/>
      </w:pPr>
      <w:r>
        <w:rPr>
          <w:rFonts w:ascii="Arial" w:cs="Arial" w:eastAsia="Arial" w:hAnsi="Arial"/>
          <w:color w:val="3D3D3D"/>
          <w:sz w:val="22"/>
          <w:szCs w:val="22"/>
        </w:rPr>
        <w:t xml:space="preserve">PEARL REALTY wins for five reasons that cannot be easily replicated:</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2A" w:sz="1"/>
              <w:left w:val="single" w:color="B8972A" w:sz="1"/>
              <w:bottom w:val="single" w:color="B8972A" w:sz="1"/>
              <w:right w:val="single" w:color="B8972A" w:sz="1"/>
            </w:tcBorders>
            <w:shd w:fill="1B3A52" w:val="clear"/>
            <w:tcMar>
              <w:top w:type="dxa" w:w="160"/>
              <w:left w:type="dxa" w:w="200"/>
              <w:bottom w:type="dxa" w:w="160"/>
              <w:right w:type="dxa" w:w="200"/>
            </w:tcMar>
          </w:tcPr>
          <w:p>
            <w:pPr>
              <w:spacing w:before="0" w:after="80"/>
            </w:pPr>
            <w:r>
              <w:rPr>
                <w:rFonts w:ascii="Arial" w:cs="Arial" w:eastAsia="Arial" w:hAnsi="Arial"/>
                <w:b/>
                <w:bCs/>
                <w:color w:val="FFFFFF"/>
                <w:sz w:val="24"/>
                <w:szCs w:val="24"/>
              </w:rPr>
              <w:t xml:space="preserve">THE PEARL REALTY INVESTMENT THESIS — VERSION 2.0 (REVISED)</w:t>
            </w:r>
          </w:p>
          <w:p>
            <w:pPr>
              <w:spacing w:before="30" w:after="30"/>
            </w:pPr>
            <w:r>
              <w:rPr>
                <w:rFonts w:ascii="Arial" w:cs="Arial" w:eastAsia="Arial" w:hAnsi="Arial"/>
                <w:color w:val="E8DFC8"/>
                <w:sz w:val="20"/>
                <w:szCs w:val="20"/>
              </w:rPr>
              <w:t xml:space="preserve">1. MARKET TIMING: The single greatest migration of UHNWI capital in a generation is flowing into Dubai right now. The advisory infrastructure to serve it does not yet exist at the quality level these families demand. First-mover advantage in brand and relationships compounds every year.</w:t>
            </w:r>
          </w:p>
          <w:p>
            <w:pPr>
              <w:spacing w:before="30" w:after="30"/>
            </w:pPr>
            <w:r>
              <w:rPr>
                <w:rFonts w:ascii="Arial" w:cs="Arial" w:eastAsia="Arial" w:hAnsi="Arial"/>
                <w:color w:val="E8DFC8"/>
                <w:sz w:val="20"/>
                <w:szCs w:val="20"/>
              </w:rPr>
              <w:t xml:space="preserve">2. THE GAP IS REAL: No dominant private advisory brand serves the $5M+ Dubai UHNWI market. Knight Frank, Savills, and Christie's serve the market. None own it the way a founder-led, invitation-only practice with genuine UHNWI relationships can.</w:t>
            </w:r>
          </w:p>
          <w:p>
            <w:pPr>
              <w:spacing w:before="30" w:after="30"/>
            </w:pPr>
            <w:r>
              <w:rPr>
                <w:rFonts w:ascii="Arial" w:cs="Arial" w:eastAsia="Arial" w:hAnsi="Arial"/>
                <w:color w:val="E8DFC8"/>
                <w:sz w:val="20"/>
                <w:szCs w:val="20"/>
              </w:rPr>
              <w:t xml:space="preserve">3. ECONOMICS ARE EXCEPTIONAL: $1B in advised deals at 1.5–2% = $15M–$20M in primary fees. With 75%+ EBITDA at scale, this is a $10M+ operating profit business. Capital requirement is only $640K.</w:t>
            </w:r>
          </w:p>
          <w:p>
            <w:pPr>
              <w:spacing w:before="30" w:after="30"/>
            </w:pPr>
            <w:r>
              <w:rPr>
                <w:rFonts w:ascii="Arial" w:cs="Arial" w:eastAsia="Arial" w:hAnsi="Arial"/>
                <w:color w:val="E8DFC8"/>
                <w:sz w:val="20"/>
                <w:szCs w:val="20"/>
              </w:rPr>
              <w:t xml:space="preserve">4. THE RISKS ARE KNOWN AND MANAGED: The Bear Case is modelled, the key person risk is acknowledged, the cash flow timing risk is shown. An honest plan with known risks is more fundable than an optimistic plan that ignores them.</w:t>
            </w:r>
          </w:p>
          <w:p>
            <w:pPr>
              <w:spacing w:before="30" w:after="30"/>
            </w:pPr>
            <w:r>
              <w:rPr>
                <w:rFonts w:ascii="Arial" w:cs="Arial" w:eastAsia="Arial" w:hAnsi="Arial"/>
                <w:color w:val="E8DFC8"/>
                <w:sz w:val="20"/>
                <w:szCs w:val="20"/>
              </w:rPr>
              <w:t xml:space="preserve">5. CLEAR EXIT PATHWAYS: Three exit strategies are defined (acquisition, PE investment, partnership model) with realistic value estimates. The business is built to be sold at 3–5x revenue — a $45M–$100M enterprise value at Year 5.</w:t>
            </w:r>
          </w:p>
        </w:tc>
      </w:tr>
    </w:tbl>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11.2 The Three Things That Must Be True For This Business to Succeed</w:t>
      </w:r>
    </w:p>
    <w:p>
      <w:pPr>
        <w:spacing w:before="60" w:after="80"/>
        <w:jc w:val="both"/>
      </w:pPr>
      <w:r>
        <w:rPr>
          <w:rFonts w:ascii="Arial" w:cs="Arial" w:eastAsia="Arial" w:hAnsi="Arial"/>
          <w:color w:val="3D3D3D"/>
          <w:sz w:val="22"/>
          <w:szCs w:val="22"/>
        </w:rPr>
        <w:t xml:space="preserve">Every business plan has assumptions. Here are the three critical ones for PEARL REALTY — stated plainly, not buried in optimistic prose:</w:t>
      </w:r>
    </w:p>
    <w:p>
      <w:pPr>
        <w:pStyle w:val="ListParagraph"/>
        <w:numPr>
          <w:ilvl w:val="0"/>
          <w:numId w:val="2"/>
        </w:numPr>
        <w:spacing w:before="40" w:after="60"/>
      </w:pPr>
      <w:r>
        <w:rPr>
          <w:rFonts w:ascii="Arial" w:cs="Arial" w:eastAsia="Arial" w:hAnsi="Arial"/>
          <w:b/>
          <w:bCs/>
          <w:color w:val="1A1A1A"/>
          <w:sz w:val="22"/>
          <w:szCs w:val="22"/>
        </w:rPr>
        <w:t xml:space="preserve">1. The founder's network delivers at least 4 transactions in Year 1 without new marketing spend. </w:t>
      </w:r>
      <w:r>
        <w:rPr>
          <w:rFonts w:ascii="Arial" w:cs="Arial" w:eastAsia="Arial" w:hAnsi="Arial"/>
          <w:color w:val="3D3D3D"/>
          <w:sz w:val="22"/>
          <w:szCs w:val="22"/>
        </w:rPr>
        <w:t xml:space="preserve">If the existing network cannot produce 4 deals, the business model requires re-evaluation before investing $640K.</w:t>
      </w:r>
    </w:p>
    <w:p>
      <w:pPr>
        <w:pStyle w:val="ListParagraph"/>
        <w:numPr>
          <w:ilvl w:val="0"/>
          <w:numId w:val="2"/>
        </w:numPr>
        <w:spacing w:before="40" w:after="60"/>
      </w:pPr>
      <w:r>
        <w:rPr>
          <w:rFonts w:ascii="Arial" w:cs="Arial" w:eastAsia="Arial" w:hAnsi="Arial"/>
          <w:b/>
          <w:bCs/>
          <w:color w:val="1A1A1A"/>
          <w:sz w:val="22"/>
          <w:szCs w:val="22"/>
        </w:rPr>
        <w:t xml:space="preserve">2. Developer partner relationships convert to real, preferential off-market access. </w:t>
      </w:r>
      <w:r>
        <w:rPr>
          <w:rFonts w:ascii="Arial" w:cs="Arial" w:eastAsia="Arial" w:hAnsi="Arial"/>
          <w:color w:val="3D3D3D"/>
          <w:sz w:val="22"/>
          <w:szCs w:val="22"/>
        </w:rPr>
        <w:t xml:space="preserve">If developers treat PEARL REALTY as another agent, not a preferred private partner, the core differentiation collapses.</w:t>
      </w:r>
    </w:p>
    <w:p>
      <w:pPr>
        <w:pStyle w:val="ListParagraph"/>
        <w:numPr>
          <w:ilvl w:val="0"/>
          <w:numId w:val="2"/>
        </w:numPr>
        <w:spacing w:before="40" w:after="60"/>
      </w:pPr>
      <w:r>
        <w:rPr>
          <w:rFonts w:ascii="Arial" w:cs="Arial" w:eastAsia="Arial" w:hAnsi="Arial"/>
          <w:b/>
          <w:bCs/>
          <w:color w:val="1A1A1A"/>
          <w:sz w:val="22"/>
          <w:szCs w:val="22"/>
        </w:rPr>
        <w:t xml:space="preserve">3. At least 15 referral partners (private bankers / wealth managers) activate within 12 months. </w:t>
      </w:r>
      <w:r>
        <w:rPr>
          <w:rFonts w:ascii="Arial" w:cs="Arial" w:eastAsia="Arial" w:hAnsi="Arial"/>
          <w:color w:val="3D3D3D"/>
          <w:sz w:val="22"/>
          <w:szCs w:val="22"/>
        </w:rPr>
        <w:t xml:space="preserve">The referral channel is the most scalable and lowest-CAC pipeline. Without it, the outbound AI channel must compensate — which increases CAC by 40%.</w:t>
      </w:r>
    </w:p>
    <w:p>
      <w:pPr>
        <w:spacing w:before="80" w:after="80"/>
      </w:pPr>
      <w:r>
        <w:rPr>
          <w:rFonts w:ascii="Arial" w:cs="Arial" w:eastAsia="Arial" w:hAnsi="Arial"/>
          <w:color w:val="3D3D3D"/>
          <w:sz w:val="22"/>
          <w:szCs w:val="22"/>
        </w:rPr>
        <w:t xml:space="preserve"/>
      </w:r>
    </w:p>
    <w:p>
      <w:pPr>
        <w:pStyle w:val="Heading2"/>
        <w:pBdr>
          <w:top w:val="none" w:color="FFFFFF" w:sz="0"/>
          <w:left w:val="none" w:color="FFFFFF" w:sz="0"/>
          <w:bottom w:val="single" w:color="D4B96A" w:sz="4" w:space="1"/>
          <w:right w:val="none" w:color="FFFFFF" w:sz="0"/>
        </w:pBdr>
        <w:spacing w:before="280" w:after="120"/>
      </w:pPr>
      <w:r>
        <w:rPr>
          <w:rFonts w:ascii="Arial" w:cs="Arial" w:eastAsia="Arial" w:hAnsi="Arial"/>
          <w:b/>
          <w:bCs/>
          <w:color w:val="1B3A52"/>
          <w:sz w:val="28"/>
          <w:szCs w:val="28"/>
        </w:rPr>
        <w:t xml:space="preserve">11.3 Founder's Closing Statement</w:t>
      </w:r>
    </w:p>
    <w:p>
      <w:pPr>
        <w:spacing w:before="40" w:after="40"/>
      </w:pPr>
      <w:r>
        <w:rPr>
          <w:rFonts w:ascii="Arial" w:cs="Arial" w:eastAsia="Arial" w:hAnsi="Arial"/>
          <w:color w:val="3D3D3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2A" w:sz="1"/>
              <w:left w:val="single" w:color="B8972A" w:sz="12"/>
              <w:bottom w:val="single" w:color="B8972A" w:sz="1"/>
              <w:right w:val="single" w:color="B8972A" w:sz="1"/>
            </w:tcBorders>
            <w:shd w:fill="F5F2EA" w:val="clear"/>
            <w:tcMar>
              <w:top w:type="dxa" w:w="200"/>
              <w:left w:type="dxa" w:w="280"/>
              <w:bottom w:type="dxa" w:w="200"/>
              <w:right w:type="dxa" w:w="260"/>
            </w:tcMar>
          </w:tcPr>
          <w:p>
            <w:pPr>
              <w:spacing w:before="0" w:after="100"/>
              <w:jc w:val="both"/>
            </w:pPr>
            <w:r>
              <w:rPr>
                <w:rFonts w:ascii="Arial" w:cs="Arial" w:eastAsia="Arial" w:hAnsi="Arial"/>
                <w:i/>
                <w:iCs/>
                <w:color w:val="1A1A1A"/>
                <w:sz w:val="22"/>
                <w:szCs w:val="22"/>
              </w:rPr>
              <w:t xml:space="preserve">"I built PEARL REALTY because I believe the world's most accomplished families deserve more than a broker with a commission target. They deserve an advisor who will tell them when not to buy, who will protect their capital as fiercely as they protect their reputation, and who will still be their advisor when their children are making the next decision.</w:t>
            </w:r>
          </w:p>
          <w:p>
            <w:pPr>
              <w:spacing w:before="0" w:after="120"/>
              <w:jc w:val="both"/>
            </w:pPr>
            <w:r>
              <w:rPr>
                <w:rFonts w:ascii="Arial" w:cs="Arial" w:eastAsia="Arial" w:hAnsi="Arial"/>
                <w:i/>
                <w:iCs/>
                <w:color w:val="1A1A1A"/>
                <w:sz w:val="22"/>
                <w:szCs w:val="22"/>
              </w:rPr>
              <w:t xml:space="preserve">Dubai is not a trend. It is the most important jurisdictional shift in global private wealth in a generation. I intend to be the advisor of record for the families who choose to place their trust — and their capital — here."</w:t>
            </w:r>
          </w:p>
          <w:p>
            <w:pPr>
              <w:jc w:val="right"/>
            </w:pPr>
            <w:r>
              <w:rPr>
                <w:rFonts w:ascii="Arial" w:cs="Arial" w:eastAsia="Arial" w:hAnsi="Arial"/>
                <w:b/>
                <w:bCs/>
                <w:color w:val="B8972A"/>
                <w:sz w:val="20"/>
                <w:szCs w:val="20"/>
              </w:rPr>
              <w:t xml:space="preserve">— Raghunath Nallamuthu, Founder, PEARL REALTY</w:t>
            </w:r>
          </w:p>
        </w:tc>
      </w:tr>
    </w:tbl>
    <w:p>
      <w:pPr>
        <w:spacing w:before="120" w:after="120"/>
      </w:pPr>
      <w:r>
        <w:rPr>
          <w:rFonts w:ascii="Arial" w:cs="Arial" w:eastAsia="Arial" w:hAnsi="Arial"/>
          <w:color w:val="3D3D3D"/>
          <w:sz w:val="22"/>
          <w:szCs w:val="22"/>
        </w:rPr>
        <w:t xml:space="preserve"/>
      </w:r>
    </w:p>
    <w:p>
      <w:pPr>
        <w:pBdr>
          <w:top w:val="none" w:color="FFFFFF" w:sz="0"/>
          <w:left w:val="none" w:color="FFFFFF" w:sz="0"/>
          <w:bottom w:val="single" w:color="B8972A" w:sz="2" w:space="1"/>
          <w:right w:val="none" w:color="FFFFFF" w:sz="0"/>
        </w:pBdr>
        <w:spacing w:before="80" w:after="40"/>
        <w:jc w:val="center"/>
      </w:pPr>
      <w:r>
        <w:rPr>
          <w:rFonts w:ascii="Arial" w:cs="Arial" w:eastAsia="Arial" w:hAnsi="Arial"/>
          <w:color w:val="7A7A7A"/>
          <w:sz w:val="20"/>
          <w:szCs w:val="20"/>
        </w:rPr>
        <w:t xml:space="preserve">PEARL REALTY  ·  Private Real Estate Advisory  ·  Dubai, UAE</w:t>
      </w:r>
    </w:p>
    <w:p>
      <w:pPr>
        <w:spacing w:before="20" w:after="20"/>
        <w:jc w:val="center"/>
      </w:pPr>
      <w:r>
        <w:rPr>
          <w:rFonts w:ascii="Arial" w:cs="Arial" w:eastAsia="Arial" w:hAnsi="Arial"/>
          <w:color w:val="7A7A7A"/>
          <w:sz w:val="18"/>
          <w:szCs w:val="18"/>
        </w:rPr>
        <w:t xml:space="preserve">advisory@pearlrealty.ae  ·  Version #004 (Investor Edition)  ·  April 2026  ·  Strictly Private &amp; Confidential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96A" w:sz="2" w:space="1"/>
        <w:left w:val="none" w:color="FFFFFF" w:sz="0"/>
        <w:bottom w:val="none" w:color="FFFFFF" w:sz="0"/>
        <w:right w:val="none" w:color="FFFFFF" w:sz="0"/>
      </w:pBdr>
      <w:spacing w:before="80" w:after="0"/>
    </w:pPr>
    <w:r>
      <w:rPr>
        <w:rFonts w:ascii="Arial" w:cs="Arial" w:eastAsia="Arial" w:hAnsi="Arial"/>
        <w:color w:val="7A7A7A"/>
        <w:sz w:val="18"/>
        <w:szCs w:val="18"/>
      </w:rPr>
      <w:t xml:space="preserve">© 2026 Pearl Realty  ·  For Authorised Recipients Only  ·  Page </w:t>
    </w:r>
    <w:r>
      <w:rPr>
        <w:rFonts w:ascii="Arial" w:cs="Arial" w:eastAsia="Arial" w:hAnsi="Arial"/>
        <w:color w:val="B8972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left w:val="none" w:color="FFFFFF" w:sz="0"/>
        <w:bottom w:val="single" w:color="B8972A" w:sz="2" w:space="1"/>
        <w:right w:val="none" w:color="FFFFFF" w:sz="0"/>
      </w:pBdr>
      <w:spacing w:before="0" w:after="80"/>
    </w:pPr>
    <w:r>
      <w:rPr>
        <w:rFonts w:ascii="Arial" w:cs="Arial" w:eastAsia="Arial" w:hAnsi="Arial"/>
        <w:color w:val="7A7A7A"/>
        <w:sz w:val="18"/>
        <w:szCs w:val="18"/>
      </w:rPr>
      <w:t xml:space="preserve">PEARL REALTY  —  Business Plan v004 (Investor Edition)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5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2026-04-06T03:21:10.872Z</dcterms:created>
  <dcterms:modified xsi:type="dcterms:W3CDTF">2026-04-06T03:21:10.874Z</dcterms:modified>
</cp:coreProperties>
</file>

<file path=docProps/custom.xml><?xml version="1.0" encoding="utf-8"?>
<Properties xmlns="http://schemas.openxmlformats.org/officeDocument/2006/custom-properties" xmlns:vt="http://schemas.openxmlformats.org/officeDocument/2006/docPropsVTypes"/>
</file>