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7A1AA">
      <w:pPr>
        <w:spacing w:after="60"/>
        <w:jc w:val="center"/>
      </w:pPr>
      <w:r>
        <w:rPr>
          <w:rFonts w:ascii="Calibri" w:hAnsi="Calibri" w:eastAsia="Calibri" w:cs="Calibri"/>
          <w:b/>
          <w:bCs/>
          <w:color w:val="182136"/>
          <w:sz w:val="32"/>
          <w:szCs w:val="32"/>
        </w:rPr>
        <w:t>Zola Think — Business Model Canvas</w:t>
      </w:r>
    </w:p>
    <w:p w14:paraId="42E61AA7">
      <w:pPr>
        <w:spacing w:after="260"/>
        <w:jc w:val="center"/>
      </w:pPr>
      <w:r>
        <w:rPr>
          <w:rFonts w:ascii="Calibri" w:hAnsi="Calibri" w:eastAsia="Calibri" w:cs="Calibri"/>
          <w:i/>
          <w:iCs/>
          <w:color w:val="6B6B6B"/>
          <w:sz w:val="20"/>
          <w:szCs w:val="20"/>
        </w:rPr>
        <w:t>We don't teach the tool. We teach you to use it to solve.</w:t>
      </w:r>
    </w:p>
    <w:tbl>
      <w:tblPr>
        <w:tblStyle w:val="9"/>
        <w:tblW w:w="14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3049"/>
        <w:gridCol w:w="3401"/>
        <w:gridCol w:w="3049"/>
        <w:gridCol w:w="2580"/>
      </w:tblGrid>
      <w:tr w14:paraId="68804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358" w:hRule="atLeast"/>
        </w:trPr>
        <w:tc>
          <w:tcPr>
            <w:tcW w:w="2580" w:type="dxa"/>
            <w:vMerge w:val="restart"/>
            <w:shd w:val="clear" w:color="auto" w:fill="EFEDF7"/>
            <w:tcMar>
              <w:top w:w="140" w:type="dxa"/>
              <w:left w:w="160" w:type="dxa"/>
              <w:bottom w:w="140" w:type="dxa"/>
              <w:right w:w="160" w:type="dxa"/>
            </w:tcMar>
            <w:vAlign w:val="top"/>
          </w:tcPr>
          <w:p w14:paraId="4D7ABFC4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aps/>
                <w:color w:val="43459F"/>
                <w:sz w:val="18"/>
                <w:szCs w:val="18"/>
              </w:rPr>
              <w:t>Key Partners</w:t>
            </w:r>
          </w:p>
          <w:p w14:paraId="0744226C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None formalized at current stage.</w:t>
            </w:r>
          </w:p>
          <w:p w14:paraId="123B95D6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Planned: schools &amp; academies as future distribution partners, once model is proven.</w:t>
            </w:r>
          </w:p>
        </w:tc>
        <w:tc>
          <w:tcPr>
            <w:tcW w:w="3049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top"/>
          </w:tcPr>
          <w:p w14:paraId="630685EA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aps/>
                <w:color w:val="43459F"/>
                <w:sz w:val="18"/>
                <w:szCs w:val="18"/>
              </w:rPr>
              <w:t>Key Activities</w:t>
            </w:r>
          </w:p>
          <w:p w14:paraId="6517F3C4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Design &amp; facilitate live Missions (Zoom, 2 hrs, small teams).</w:t>
            </w:r>
          </w:p>
          <w:p w14:paraId="02080BD0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Marketing &amp; enrollment (organic + paid).</w:t>
            </w:r>
          </w:p>
          <w:p w14:paraId="3C260790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Logistics: registration, reminders, breakout coordination.</w:t>
            </w:r>
          </w:p>
          <w:p w14:paraId="093F71F5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Documenting real sessions for authentic marketing content.</w:t>
            </w:r>
          </w:p>
        </w:tc>
        <w:tc>
          <w:tcPr>
            <w:tcW w:w="3401" w:type="dxa"/>
            <w:vMerge w:val="restart"/>
            <w:shd w:val="clear" w:color="auto" w:fill="E9E4F7"/>
            <w:tcMar>
              <w:top w:w="140" w:type="dxa"/>
              <w:left w:w="160" w:type="dxa"/>
              <w:bottom w:w="140" w:type="dxa"/>
              <w:right w:w="160" w:type="dxa"/>
            </w:tcMar>
            <w:vAlign w:val="top"/>
          </w:tcPr>
          <w:p w14:paraId="280BA690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aps/>
                <w:color w:val="43459F"/>
                <w:sz w:val="18"/>
                <w:szCs w:val="18"/>
              </w:rPr>
              <w:t>Value Proposition</w:t>
            </w:r>
          </w:p>
          <w:p w14:paraId="38B57C4B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"We don't teach the tool. We teach you to use it to solve."</w:t>
            </w:r>
          </w:p>
          <w:p w14:paraId="76B24B88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Live, real-world, decision-based Missions — no fixed curriculum.</w:t>
            </w:r>
          </w:p>
          <w:p w14:paraId="6D2D29FE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Builds confidence &amp; decision-making, not just technical skill.</w:t>
            </w:r>
          </w:p>
          <w:p w14:paraId="77D906D1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No prior technical background required.</w:t>
            </w:r>
          </w:p>
          <w:p w14:paraId="73D2A4CF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Facilitator asks questions, never supplies the answer.</w:t>
            </w:r>
          </w:p>
        </w:tc>
        <w:tc>
          <w:tcPr>
            <w:tcW w:w="3049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top"/>
          </w:tcPr>
          <w:p w14:paraId="283C9841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aps/>
                <w:color w:val="43459F"/>
                <w:sz w:val="18"/>
                <w:szCs w:val="18"/>
              </w:rPr>
              <w:t>Customer Relationships</w:t>
            </w:r>
          </w:p>
          <w:p w14:paraId="42EDF53A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Free taster Mission (Mission Zero) as trust-building entry point.</w:t>
            </w:r>
          </w:p>
          <w:p w14:paraId="33FCF12A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Post-Journey follow-up &amp; updates.</w:t>
            </w:r>
          </w:p>
          <w:p w14:paraId="51A07392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Discounted multi-Journey bundles for repeat families.</w:t>
            </w:r>
          </w:p>
        </w:tc>
        <w:tc>
          <w:tcPr>
            <w:tcW w:w="2580" w:type="dxa"/>
            <w:vMerge w:val="restart"/>
            <w:shd w:val="clear" w:color="auto" w:fill="EFEDF7"/>
            <w:tcMar>
              <w:top w:w="140" w:type="dxa"/>
              <w:left w:w="160" w:type="dxa"/>
              <w:bottom w:w="140" w:type="dxa"/>
              <w:right w:w="160" w:type="dxa"/>
            </w:tcMar>
            <w:vAlign w:val="top"/>
          </w:tcPr>
          <w:p w14:paraId="20E6D63B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aps/>
                <w:color w:val="43459F"/>
                <w:sz w:val="18"/>
                <w:szCs w:val="18"/>
              </w:rPr>
              <w:t>Customer Segments</w:t>
            </w:r>
          </w:p>
          <w:p w14:paraId="2E3C289C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Parents of children aged 10-16.</w:t>
            </w:r>
          </w:p>
          <w:p w14:paraId="00989AF0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Above-average household income; already invest in enrichment/coding courses.</w:t>
            </w:r>
          </w:p>
          <w:p w14:paraId="2089FC77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Concerned child "knows the tool but not what to do with it," or wants broader confidence-building.</w:t>
            </w:r>
          </w:p>
          <w:p w14:paraId="3625092B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Egypt / Arabic-speaking MENA.</w:t>
            </w:r>
          </w:p>
        </w:tc>
      </w:tr>
      <w:tr w14:paraId="2F7F8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565" w:hRule="atLeast"/>
        </w:trPr>
        <w:tc>
          <w:tcPr>
            <w:vMerge w:val="continue"/>
          </w:tcPr>
          <w:p w14:paraId="325952E8"/>
        </w:tc>
        <w:tc>
          <w:tcPr>
            <w:tcW w:w="3049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top"/>
          </w:tcPr>
          <w:p w14:paraId="53586C5A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aps/>
                <w:color w:val="43459F"/>
                <w:sz w:val="18"/>
                <w:szCs w:val="18"/>
              </w:rPr>
              <w:t>Key Resources</w:t>
            </w:r>
          </w:p>
          <w:p w14:paraId="5C70EAAA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Founder expertise: software engineering + UI/UX + real teaching experience.</w:t>
            </w:r>
          </w:p>
          <w:p w14:paraId="5A630226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Mission content library (Mission Zero, Mission 1; more in design).</w:t>
            </w:r>
          </w:p>
          <w:p w14:paraId="60023BA9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Brand identity: logo, colors, tone of voice.</w:t>
            </w:r>
          </w:p>
          <w:p w14:paraId="53BB687E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Operational partner (logistics &amp; communication).</w:t>
            </w:r>
          </w:p>
        </w:tc>
        <w:tc>
          <w:tcPr>
            <w:vMerge w:val="continue"/>
          </w:tcPr>
          <w:p w14:paraId="7A90FFBE"/>
        </w:tc>
        <w:tc>
          <w:tcPr>
            <w:tcW w:w="3049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top"/>
          </w:tcPr>
          <w:p w14:paraId="4185FF50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aps/>
                <w:color w:val="43459F"/>
                <w:sz w:val="18"/>
                <w:szCs w:val="18"/>
              </w:rPr>
              <w:t>Channels</w:t>
            </w:r>
          </w:p>
          <w:p w14:paraId="4A473270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Instagram — primary content channel.</w:t>
            </w:r>
          </w:p>
          <w:p w14:paraId="2F00DB81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LinkedIn — investor &amp; competition visibility.</w:t>
            </w:r>
          </w:p>
          <w:p w14:paraId="79F514F4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Paid social ads (capped, phased spend).</w:t>
            </w:r>
          </w:p>
          <w:p w14:paraId="3879EFBC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Word-of-mouth / referral from validated families.</w:t>
            </w:r>
          </w:p>
        </w:tc>
        <w:tc>
          <w:tcPr>
            <w:vMerge w:val="continue"/>
          </w:tcPr>
          <w:p w14:paraId="75FB475E"/>
        </w:tc>
      </w:tr>
    </w:tbl>
    <w:p w14:paraId="77EBACBF">
      <w:pPr>
        <w:spacing w:before="60" w:after="60"/>
      </w:pPr>
    </w:p>
    <w:tbl>
      <w:tblPr>
        <w:tblStyle w:val="9"/>
        <w:tblW w:w="146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30"/>
        <w:gridCol w:w="7330"/>
      </w:tblGrid>
      <w:tr w14:paraId="77D77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3" w:hRule="atLeast"/>
        </w:trPr>
        <w:tc>
          <w:tcPr>
            <w:tcW w:w="7330" w:type="dxa"/>
            <w:shd w:val="clear" w:color="auto" w:fill="EFEDF7"/>
            <w:tcMar>
              <w:top w:w="140" w:type="dxa"/>
              <w:left w:w="160" w:type="dxa"/>
              <w:bottom w:w="140" w:type="dxa"/>
              <w:right w:w="160" w:type="dxa"/>
            </w:tcMar>
            <w:vAlign w:val="top"/>
          </w:tcPr>
          <w:p w14:paraId="046E3BB1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aps/>
                <w:color w:val="43459F"/>
                <w:sz w:val="18"/>
                <w:szCs w:val="18"/>
              </w:rPr>
              <w:t>Cost Structure</w:t>
            </w:r>
          </w:p>
          <w:p w14:paraId="742E40ED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Founder time: ~60 hrs/Journey @ EGP 275/hr (~16,500 EGP).</w:t>
            </w:r>
          </w:p>
          <w:p w14:paraId="180DF0CC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Zoom Pro + tools (Gamma, etc.): ~500 EGP/Journey.</w:t>
            </w:r>
          </w:p>
          <w:p w14:paraId="214E0FEF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Marketing: capped at ~45% of post-cost margin (~5,850 EGP at 15 students).</w:t>
            </w:r>
          </w:p>
          <w:p w14:paraId="67FB6033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Operational partner: ~18% profit share.</w:t>
            </w:r>
          </w:p>
        </w:tc>
        <w:tc>
          <w:tcPr>
            <w:tcW w:w="7330" w:type="dxa"/>
            <w:shd w:val="clear" w:color="auto" w:fill="EFEDF7"/>
            <w:tcMar>
              <w:top w:w="140" w:type="dxa"/>
              <w:left w:w="160" w:type="dxa"/>
              <w:bottom w:w="140" w:type="dxa"/>
              <w:right w:w="160" w:type="dxa"/>
            </w:tcMar>
            <w:vAlign w:val="top"/>
          </w:tcPr>
          <w:p w14:paraId="13EDBEEF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aps/>
                <w:color w:val="43459F"/>
                <w:sz w:val="18"/>
                <w:szCs w:val="18"/>
              </w:rPr>
              <w:t>Revenue Streams</w:t>
            </w:r>
          </w:p>
          <w:p w14:paraId="543D362E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Mission Zero (taster) — Free.</w:t>
            </w:r>
          </w:p>
          <w:p w14:paraId="6C8827CE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1 Journey (5 Missions + Hackathon) — EGP 2,000 (EGP 400/Mission), paid upfront.</w:t>
            </w:r>
          </w:p>
          <w:p w14:paraId="06EC7C36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3-Journey bundle — discounted rate, encourages long-term commitment.</w:t>
            </w:r>
          </w:p>
          <w:p w14:paraId="7610F5CE">
            <w:pPr>
              <w:spacing w:after="50"/>
            </w:pPr>
            <w:r>
              <w:rPr>
                <w:rFonts w:ascii="Calibri" w:hAnsi="Calibri" w:eastAsia="Calibri" w:cs="Calibri"/>
                <w:color w:val="1A1A1A"/>
                <w:sz w:val="16"/>
                <w:szCs w:val="16"/>
              </w:rPr>
              <w:t>•  Target founder net income: ~5,800–6,000 EGP/Journey at 15 students.</w:t>
            </w:r>
          </w:p>
        </w:tc>
      </w:tr>
    </w:tbl>
    <w:p w14:paraId="7F6FD53A"/>
    <w:sectPr>
      <w:pgSz w:w="15840" w:h="12240"/>
      <w:pgMar w:top="700" w:right="600" w:bottom="700" w:left="6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39163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332</Words>
  <Characters>1864</Characters>
  <TotalTime>0</TotalTime>
  <ScaleCrop>false</ScaleCrop>
  <LinksUpToDate>false</LinksUpToDate>
  <CharactersWithSpaces>2185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2026-09-09T09:22:00Z</dcterms:created>
  <dc:creator>Un-named</dc:creator>
  <cp:lastModifiedBy>WPS_1636101941</cp:lastModifiedBy>
  <dcterms:modified xsi:type="dcterms:W3CDTF">2026-09-09T09:32:46Z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eyJoZGlkIjoiMzkwNTA4NzMzMjVhYWI1ODI2YWZlZjY1MjNkZGM3ZWIiLCJ1c2VySWQiOiIxNDQ0ODU2NzU0MDk2NCJ9</vt:lpwstr>
  </property>
  <property fmtid="{D5CDD505-2E9C-101B-9397-08002B2CF9AE}" pid="3" name="KSOProductBuildVer">
    <vt:lpwstr>1033-12.1.0.28485</vt:lpwstr>
  </property>
  <property fmtid="{D5CDD505-2E9C-101B-9397-08002B2CF9AE}" pid="4" name="ICV">
    <vt:lpwstr>7D9BB65B1D854B8FAEED28D85044498C_12</vt:lpwstr>
  </property>
</Properties>
</file>