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414D7">
      <w:pPr>
        <w:spacing w:before="1800"/>
        <w:jc w:val="center"/>
        <w:rPr>
          <w:rFonts w:hint="cs" w:cs="Times New Roman"/>
          <w:lang w:bidi="ar-EG"/>
        </w:rPr>
      </w:pPr>
    </w:p>
    <w:p w14:paraId="48C8633F">
      <w:pPr>
        <w:spacing w:before="1800"/>
        <w:jc w:val="center"/>
        <w:rPr>
          <w:rFonts w:hint="cs" w:cs="Times New Roman"/>
          <w:lang w:bidi="ar-EG"/>
        </w:rPr>
      </w:pPr>
      <w:r>
        <w:rPr>
          <w:rFonts w:hint="cs" w:cs="Times New Roman"/>
          <w:lang w:bidi="ar-EG"/>
        </w:rPr>
        <w:drawing>
          <wp:inline distT="0" distB="0" distL="114300" distR="114300">
            <wp:extent cx="2967355" cy="1176020"/>
            <wp:effectExtent l="0" t="0" r="4445" b="5080"/>
            <wp:docPr id="1" name="Picture 1" descr="Logo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 Vecto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4C36">
      <w:pPr>
        <w:spacing w:before="200"/>
        <w:jc w:val="center"/>
        <w:rPr>
          <w:rFonts w:ascii="Calibri" w:hAnsi="Calibri" w:eastAsia="Calibri" w:cs="Calibri"/>
          <w:color w:val="43459F"/>
          <w:sz w:val="32"/>
          <w:szCs w:val="32"/>
        </w:rPr>
      </w:pPr>
    </w:p>
    <w:p w14:paraId="3F4C2973">
      <w:pPr>
        <w:jc w:val="center"/>
        <w:rPr>
          <w:b/>
          <w:bCs/>
          <w:sz w:val="44"/>
          <w:szCs w:val="48"/>
        </w:rPr>
      </w:pPr>
      <w:r>
        <w:rPr>
          <w:b/>
          <w:bCs/>
          <w:sz w:val="44"/>
          <w:szCs w:val="48"/>
        </w:rPr>
        <w:t>Business Model</w:t>
      </w:r>
    </w:p>
    <w:p w14:paraId="0AA59959">
      <w:pPr>
        <w:jc w:val="center"/>
        <w:rPr>
          <w:sz w:val="28"/>
          <w:szCs w:val="32"/>
        </w:rPr>
      </w:pPr>
    </w:p>
    <w:p w14:paraId="40C9F729">
      <w:pPr>
        <w:jc w:val="center"/>
        <w:rPr>
          <w:sz w:val="28"/>
          <w:szCs w:val="32"/>
        </w:rPr>
      </w:pPr>
      <w:r>
        <w:rPr>
          <w:sz w:val="28"/>
          <w:szCs w:val="32"/>
        </w:rPr>
        <w:t>We don't teach the tool. We teach you to use it to solve.</w:t>
      </w:r>
    </w:p>
    <w:p w14:paraId="5A9F0A74">
      <w:pPr>
        <w:jc w:val="center"/>
        <w:rPr>
          <w:sz w:val="28"/>
          <w:szCs w:val="32"/>
        </w:rPr>
      </w:pPr>
    </w:p>
    <w:p w14:paraId="2F9F8550">
      <w:pPr>
        <w:jc w:val="center"/>
        <w:rPr>
          <w:i/>
          <w:iCs/>
          <w:sz w:val="24"/>
          <w:szCs w:val="28"/>
        </w:rPr>
      </w:pPr>
      <w:r>
        <w:rPr>
          <w:i/>
          <w:iCs/>
          <w:sz w:val="24"/>
          <w:szCs w:val="28"/>
        </w:rPr>
        <w:t>Prepared by Salma Draz, Founder |Egypt | September 2026</w:t>
      </w:r>
    </w:p>
    <w:p w14:paraId="70416424">
      <w:pPr>
        <w:jc w:val="center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42F0C709">
      <w:pPr>
        <w:pStyle w:val="2"/>
        <w:spacing w:before="400" w:after="200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1. Executive Summary</w:t>
      </w:r>
    </w:p>
    <w:p w14:paraId="1063C006">
      <w:pPr>
        <w:spacing w:after="15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Zola Think is an early-stage EdTech venture based in Alexandria, Egypt, founded by Salma Mohamed Draz — a software engineer, UI/UX designer, and hands-on coding/math instructor. Zola Think builds a teenager's confidence in their own decision-making by placing them inside realistic, live, team-based "Missions" — no ready-made answers, no fixed curriculum.</w:t>
      </w:r>
    </w:p>
    <w:p w14:paraId="1704EC25">
      <w:pPr>
        <w:spacing w:after="15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In each Mission, a small team of teenagers (ages 10-16) takes on a real profession — a seismic engineer, a pharmacist — facing a genuine, constrained problem. They investigate, debate, decide, and build a working response, then defend it to their peers. Math, coding, and AI tools appear only when the team's own solution calls for them; they are never the subject of the session.</w:t>
      </w:r>
    </w:p>
    <w:p w14:paraId="075ACFA0">
      <w:pPr>
        <w:spacing w:after="15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The core value is not technical skill acquisition — it is confidence in judgment: the ability to make a good decision with incomplete information, real constraints, and no one to hand over the "correct" answer.</w:t>
      </w:r>
    </w:p>
    <w:p w14:paraId="7A9F8BC7">
      <w:pPr>
        <w:spacing w:after="15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Two free pilot Missions have been run to date across two cohorts (~24 students total), producing strong validation: 10 of 11 respondents in a post-Mission survey rated the experience 5/5, with recurring unprompted feedback describing it as "a real mission, not a lesson." A 25-response parent survey conducted earlier shaped target audience, pricing sensitivity, and timing.</w:t>
      </w:r>
    </w:p>
    <w:p w14:paraId="402E4943">
      <w:pPr>
        <w:spacing w:after="15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Zola Think will pause further free Missions and dedicate September-December 2026 to sharpening its business definition, legal/financial foundation, and marketing groundwork, ahead of its first paid offering — a 5-Mission "Journey" culminating in a team Hackathon — launching in January 2027, timed to Egypt's mid-year school break.</w:t>
      </w:r>
    </w:p>
    <w:p w14:paraId="187DC884">
      <w:pPr>
        <w:pStyle w:val="2"/>
        <w:spacing w:before="400" w:after="200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2. Problem &amp; Solution</w:t>
      </w:r>
    </w:p>
    <w:p w14:paraId="7032E213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2.1 The Problem</w:t>
      </w:r>
    </w:p>
    <w:p w14:paraId="12B4633A">
      <w:pPr>
        <w:spacing w:after="15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Teenagers today accumulate significant knowledge — math, school subjects, and increasingly coding or AI tool literacy — but are rarely placed in situations where they must decide what to do with that knowledge under real constraints. The gap is not in what they know; it's in the opportunity to use it.</w:t>
      </w:r>
    </w:p>
    <w:p w14:paraId="6FE6B66C">
      <w:pPr>
        <w:spacing w:after="15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Validated directly: in a 25-parent survey, "learning to think and decide" and "becoming self-confident" were the two most-selected desired outcomes (68% each) — ahead of any specific technical outcome (only 32% prioritized "applying coding in real life").</w:t>
      </w:r>
    </w:p>
    <w:p w14:paraId="260564CA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2.2 The Solution</w:t>
      </w:r>
    </w:p>
    <w:p w14:paraId="6BA96326">
      <w:pPr>
        <w:spacing w:after="15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Zola Think delivers this through live, facilitator-led, small-team "Missions." Each Mission follows a five-stage arc: Discover → Decide → Build → Present → Reflect. Students are given a role (a real profession), a realistic scenario with information gaps, and hard constraints (budget, time, resources) — then must reach and defend one team decision, with no single correct answer.</w:t>
      </w:r>
    </w:p>
    <w:p w14:paraId="492EE4F5">
      <w:pPr>
        <w:spacing w:after="150"/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Unlike a coding bootcamp or curriculum platform, Zola Think does not require prior technical background — the tools a team ends up using (math, code, AI, research, communication) are determined by the solution they choose, not prescribed in advance.</w:t>
      </w:r>
    </w:p>
    <w:p w14:paraId="68B04170">
      <w:pPr>
        <w:pStyle w:val="2"/>
        <w:spacing w:before="400" w:after="200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3. Target Market</w:t>
      </w:r>
    </w:p>
    <w:p w14:paraId="06EE7C9C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3.1 Customer Segments</w:t>
      </w:r>
    </w:p>
    <w:p w14:paraId="459615CE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Primary buyer: parents of children aged 10-16, above-average household income, already investing in supplementary education (coding/enrichment courses).</w:t>
      </w:r>
    </w:p>
    <w:p w14:paraId="28185942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Trigger for purchase: a parent who feels their child "knows the tool but doesn't know what to do with it," or who wants broader confidence and decision-making skills, independent of any specific technical track.</w:t>
      </w:r>
    </w:p>
    <w:p w14:paraId="08C65CC6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Geography: Egypt initially (Arabic-speaking MENA market), where no direct competitor currently operates.</w:t>
      </w:r>
    </w:p>
    <w:p w14:paraId="49D3F309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3.2 Why Now</w:t>
      </w:r>
    </w:p>
    <w:p w14:paraId="7276D47E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Parents in this segment are already comfortable paying for structured enrichment (coding courses, STEM camps) — the spending behavior exists; Zola Think redirects it toward an underserved need.</w:t>
      </w:r>
    </w:p>
    <w:p w14:paraId="360E7CA2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Growing regional appetite for EdTech investment (e.g., EdVentures, MITEF, GESAwards) focused specifically on early-stage, Arabic-market education ventures.</w:t>
      </w:r>
    </w:p>
    <w:p w14:paraId="4631FEB6">
      <w:pPr>
        <w:pStyle w:val="2"/>
        <w:spacing w:before="400" w:after="200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4. Competitive Landscape</w:t>
      </w:r>
    </w:p>
    <w:p w14:paraId="3F83E1B9">
      <w:pPr>
        <w:spacing w:after="15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Zola Think's model is specific: live facilitation + small teams + real-world role-play + limited information + team decision-making + building + defense + reflection. Very few global players combine all of these; none operate in Arabic or MENA.</w:t>
      </w:r>
    </w:p>
    <w:p w14:paraId="4247E979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4.1 Direct Competitors</w:t>
      </w:r>
    </w:p>
    <w:tbl>
      <w:tblPr>
        <w:tblStyle w:val="9"/>
        <w:tblW w:w="106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6"/>
        <w:gridCol w:w="3074"/>
        <w:gridCol w:w="6052"/>
      </w:tblGrid>
      <w:tr w14:paraId="1319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F268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627F3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052" w:type="dxa"/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9152D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Key Difference from Zola Think</w:t>
            </w:r>
          </w:p>
        </w:tc>
      </w:tr>
      <w:tr w14:paraId="6EA6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943B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Synthesis (Ad Astra, US)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0BB7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Live, small-team, decision-based challenges, ages 8-14, B2C</w:t>
            </w:r>
          </w:p>
        </w:tc>
        <w:tc>
          <w:tcPr>
            <w:tcW w:w="60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DEF55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Closer to simulation/game format; no domain flexibility beyond strategy games; not Arabic; premium US pricing (~$180-200/wk)</w:t>
            </w:r>
          </w:p>
        </w:tc>
      </w:tr>
      <w:tr w14:paraId="452C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08FC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Inspirit AI (US)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CA8B9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Live, small cohorts (5:1), real projects across domains, mentors from Stanford/MIT</w:t>
            </w:r>
          </w:p>
        </w:tc>
        <w:tc>
          <w:tcPr>
            <w:tcW w:w="60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F1F5B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Locked to AI/Machine Learning projects only; older age band (14-18); premium US pricing</w:t>
            </w:r>
          </w:p>
        </w:tc>
      </w:tr>
    </w:tbl>
    <w:p w14:paraId="71EE5175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4.2 Adjacent Players (Not Direct Competitors)</w:t>
      </w:r>
    </w:p>
    <w:p w14:paraId="4E05A7A7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Mission.io — B2B, teacher-launched digital missions inside classrooms; curriculum-aligned (NGSS/Common Core); not live-facilitator-led, not B2C.</w:t>
      </w:r>
    </w:p>
    <w:p w14:paraId="47F84BC5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Challenger Learning Center (E-Missions) — live, role-based, video-conference simulations; 30-year-old nonprofit tied to space/earth-science museums; sold to schools (B2B), not families.</w:t>
      </w:r>
    </w:p>
    <w:p w14:paraId="6CF025C1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Coding academies (iSchool, GoMyCode, Sprints, etc.) — teach a technical skill directly; not decision-based, not role-play, not real-world-scenario-driven.</w:t>
      </w:r>
    </w:p>
    <w:p w14:paraId="5175CF61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4.3 Positioning Statement</w:t>
      </w:r>
    </w:p>
    <w:p w14:paraId="55B6F34B">
      <w:pPr>
        <w:spacing w:after="150"/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sz w:val="22"/>
          <w:szCs w:val="22"/>
        </w:rPr>
        <w:t>Zola Think is the only Arabic-market offering combining live, human-facilitated, real-world decision-making Missions across varied professions — for a direct-to-family audience, with no prior technical requirement.</w:t>
      </w:r>
    </w:p>
    <w:p w14:paraId="6870207A">
      <w:pPr>
        <w:spacing w:after="150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5. Product</w:t>
      </w:r>
    </w:p>
    <w:p w14:paraId="016A02F1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5.1 The Mission Format</w:t>
      </w:r>
    </w:p>
    <w:p w14:paraId="451C1AD7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Duration: 2 hours, live, online (Zoom), small teams (3 students per team).</w:t>
      </w:r>
    </w:p>
    <w:p w14:paraId="6B8C5879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Structure: Discover (role + scenario) → Decide (team debate under constraints) → Build (a working prototype, using whichever tool the solution needs) → Present (5-8 min defense per team) → Reflect.</w:t>
      </w:r>
    </w:p>
    <w:p w14:paraId="6978CCC5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Facilitator role: asks harder questions, never supplies the answer — coach, not teacher.</w:t>
      </w:r>
    </w:p>
    <w:p w14:paraId="086569E9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Certification: awarded only to students who complete a Mission in full — reinforcing commitment, not attendance alone.</w:t>
      </w:r>
    </w:p>
    <w:p w14:paraId="0585EC93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5.2 Current Content Library</w:t>
      </w:r>
    </w:p>
    <w:tbl>
      <w:tblPr>
        <w:tblStyle w:val="9"/>
        <w:tblW w:w="103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503"/>
        <w:gridCol w:w="4490"/>
      </w:tblGrid>
      <w:tr w14:paraId="0A3B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8CB8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Mission</w:t>
            </w:r>
          </w:p>
        </w:tc>
        <w:tc>
          <w:tcPr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45518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490" w:type="dxa"/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CAF0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14:paraId="65582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95A54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Mission Zero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46716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Pharmacist — elderly medication adherence</w:t>
            </w:r>
          </w:p>
        </w:tc>
        <w:tc>
          <w:tcPr>
            <w:tcW w:w="4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BE865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Delivered (free), 2 cohorts</w:t>
            </w:r>
          </w:p>
        </w:tc>
      </w:tr>
      <w:tr w14:paraId="4E70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3CC4F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Mission 1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98423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Seismic Engineer — earthquake early-warning system</w:t>
            </w:r>
          </w:p>
        </w:tc>
        <w:tc>
          <w:tcPr>
            <w:tcW w:w="4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43901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Delivered (free), 2 cohorts</w:t>
            </w:r>
          </w:p>
        </w:tc>
      </w:tr>
      <w:tr w14:paraId="2F67D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7D56C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Missions 2-5 (planned)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24CD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Varied professions and skill domains (decision-making, evidence evaluation, systems thinking, entrepreneurial thinking)</w:t>
            </w:r>
          </w:p>
        </w:tc>
        <w:tc>
          <w:tcPr>
            <w:tcW w:w="44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B0205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In design; to resume after business/marketing foundation is set</w:t>
            </w:r>
          </w:p>
        </w:tc>
      </w:tr>
    </w:tbl>
    <w:p w14:paraId="7076FE6D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5.3 Product Roadmap (Post-Launch)</w:t>
      </w:r>
    </w:p>
    <w:p w14:paraId="56D9C9FA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Journey structure: 5 Missions + 1 culminating team Hackathon per Journey, increasing in ambiguity and ethical complexity rather than technical difficulty alone.</w:t>
      </w:r>
    </w:p>
    <w:p w14:paraId="2083DBC7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Long-term: a lightweight, AI-assisted "Thinking Profile" built from analysis of team presentations and AI-tool prompts used during the Build phase (not live monitoring/surveillance of students) — giving parents a longitudinal view of decision-making growth across Missions.</w:t>
      </w:r>
    </w:p>
    <w:p w14:paraId="5043481C">
      <w:pPr>
        <w:pStyle w:val="2"/>
        <w:spacing w:before="400" w:after="200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6. Traction &amp; Validation</w:t>
      </w:r>
    </w:p>
    <w:tbl>
      <w:tblPr>
        <w:tblStyle w:val="9"/>
        <w:tblW w:w="103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9"/>
        <w:gridCol w:w="6963"/>
      </w:tblGrid>
      <w:tr w14:paraId="0C9CF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9" w:type="dxa"/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66C5B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963" w:type="dxa"/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6007E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14:paraId="74826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E4859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Missions delivered</w:t>
            </w:r>
          </w:p>
        </w:tc>
        <w:tc>
          <w:tcPr>
            <w:tcW w:w="696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30F75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 (Mission Zero, Mission 1), across 2 cohorts</w:t>
            </w:r>
          </w:p>
        </w:tc>
      </w:tr>
      <w:tr w14:paraId="2E91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CD50F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Total students reached</w:t>
            </w:r>
          </w:p>
        </w:tc>
        <w:tc>
          <w:tcPr>
            <w:tcW w:w="696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3F926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~24</w:t>
            </w:r>
          </w:p>
        </w:tc>
      </w:tr>
      <w:tr w14:paraId="3C27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E8F54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Satisfaction (post-Mission survey)</w:t>
            </w:r>
          </w:p>
        </w:tc>
        <w:tc>
          <w:tcPr>
            <w:tcW w:w="696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20020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10 of 11 respondents rated 5/5; 1 rated 4/5</w:t>
            </w:r>
          </w:p>
        </w:tc>
      </w:tr>
      <w:tr w14:paraId="1EE7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2C2A3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Parent research</w:t>
            </w:r>
          </w:p>
        </w:tc>
        <w:tc>
          <w:tcPr>
            <w:tcW w:w="696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C6349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25-response structured survey informing audience, pricing sensitivity, and timing</w:t>
            </w:r>
          </w:p>
        </w:tc>
      </w:tr>
      <w:tr w14:paraId="53ACF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98525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Revenue to date</w:t>
            </w:r>
          </w:p>
        </w:tc>
        <w:tc>
          <w:tcPr>
            <w:tcW w:w="696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72425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EGP 0 — all sessions delivered free as validation pilots</w:t>
            </w:r>
          </w:p>
        </w:tc>
      </w:tr>
    </w:tbl>
    <w:p w14:paraId="245695C8">
      <w:pPr>
        <w:spacing w:after="150"/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  <w:t>Representative unprompted student feedback: "It's not a session or a lesson, it's a real mission... you genuinely feel like you're the thing the mission is talking about."</w:t>
      </w:r>
    </w:p>
    <w:p w14:paraId="5B8D0A13">
      <w:pPr>
        <w:rPr>
          <w:rFonts w:ascii="Calibri" w:hAnsi="Calibri" w:eastAsia="Calibri" w:cs="Calibri"/>
          <w:b/>
          <w:bCs/>
          <w:color w:val="182136"/>
          <w:sz w:val="32"/>
          <w:szCs w:val="32"/>
        </w:rPr>
      </w:pPr>
    </w:p>
    <w:p w14:paraId="335A1CEB"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7. Business Model</w:t>
      </w:r>
    </w:p>
    <w:p w14:paraId="20DEC32B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7.1 Revenue Streams</w:t>
      </w:r>
    </w:p>
    <w:tbl>
      <w:tblPr>
        <w:tblStyle w:val="9"/>
        <w:tblW w:w="109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4"/>
        <w:gridCol w:w="2868"/>
        <w:gridCol w:w="5530"/>
      </w:tblGrid>
      <w:tr w14:paraId="7B4D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4" w:type="dxa"/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98A80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Offering</w:t>
            </w:r>
          </w:p>
        </w:tc>
        <w:tc>
          <w:tcPr>
            <w:tcW w:w="2868" w:type="dxa"/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4909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5530" w:type="dxa"/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15CAF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3419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444DF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Mission Zero (taster)</w:t>
            </w:r>
          </w:p>
        </w:tc>
        <w:tc>
          <w:tcPr>
            <w:tcW w:w="28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AE492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Free</w:t>
            </w:r>
          </w:p>
        </w:tc>
        <w:tc>
          <w:tcPr>
            <w:tcW w:w="55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F22BF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Lead generation / trust-building</w:t>
            </w:r>
          </w:p>
        </w:tc>
      </w:tr>
      <w:tr w14:paraId="2B002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7CB8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 Journey (5 Missions + Hackathon)</w:t>
            </w:r>
          </w:p>
        </w:tc>
        <w:tc>
          <w:tcPr>
            <w:tcW w:w="28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2F4B6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EGP 2,000 (EGP 400/Mission)</w:t>
            </w:r>
          </w:p>
        </w:tc>
        <w:tc>
          <w:tcPr>
            <w:tcW w:w="55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4E22D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Paid upfront, in full</w:t>
            </w:r>
          </w:p>
        </w:tc>
      </w:tr>
      <w:tr w14:paraId="6055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6442A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3-Journey bundle</w:t>
            </w:r>
          </w:p>
        </w:tc>
        <w:tc>
          <w:tcPr>
            <w:tcW w:w="28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F446D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Discounted bundle rate</w:t>
            </w:r>
          </w:p>
        </w:tc>
        <w:tc>
          <w:tcPr>
            <w:tcW w:w="55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F4C8D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Encourages long-term commitment and predictable cash flow</w:t>
            </w:r>
          </w:p>
        </w:tc>
      </w:tr>
    </w:tbl>
    <w:p w14:paraId="72ADF90A">
      <w:pPr>
        <w:pStyle w:val="3"/>
        <w:spacing w:before="280" w:after="140"/>
        <w:rPr>
          <w:rFonts w:ascii="Calibri" w:hAnsi="Calibri" w:eastAsia="Calibri" w:cs="Calibri"/>
          <w:b/>
          <w:bCs/>
          <w:color w:val="43459F"/>
          <w:sz w:val="25"/>
          <w:szCs w:val="25"/>
        </w:rPr>
      </w:pPr>
    </w:p>
    <w:p w14:paraId="605B7640">
      <w:pPr>
        <w:pStyle w:val="3"/>
        <w:spacing w:before="280" w:after="140"/>
        <w:rPr>
          <w:rFonts w:ascii="Calibri" w:hAnsi="Calibri" w:eastAsia="Calibri" w:cs="Calibri"/>
          <w:b/>
          <w:bCs/>
          <w:color w:val="43459F"/>
          <w:sz w:val="25"/>
          <w:szCs w:val="25"/>
        </w:rPr>
      </w:pPr>
    </w:p>
    <w:p w14:paraId="64E960ED">
      <w:pPr>
        <w:pStyle w:val="3"/>
        <w:spacing w:before="280" w:after="140"/>
      </w:pPr>
      <w:bookmarkStart w:id="0" w:name="_GoBack"/>
      <w:bookmarkEnd w:id="0"/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7.2 Cost Structure (per Journey, ~15-20 students)</w:t>
      </w:r>
    </w:p>
    <w:tbl>
      <w:tblPr>
        <w:tblStyle w:val="9"/>
        <w:tblW w:w="10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96"/>
        <w:gridCol w:w="5008"/>
      </w:tblGrid>
      <w:tr w14:paraId="7D6F5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87CE4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5008" w:type="dxa"/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ED0F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Approx. Cost (EGP)</w:t>
            </w:r>
          </w:p>
        </w:tc>
      </w:tr>
      <w:tr w14:paraId="71D13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4D531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Founder time (~60 hrs @ EGP 275/hr)</w:t>
            </w:r>
          </w:p>
        </w:tc>
        <w:tc>
          <w:tcPr>
            <w:tcW w:w="5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7C2F4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16,500</w:t>
            </w:r>
          </w:p>
        </w:tc>
      </w:tr>
      <w:tr w14:paraId="1782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8E889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Zoom Pro + tools (Gamma, etc.)</w:t>
            </w:r>
          </w:p>
        </w:tc>
        <w:tc>
          <w:tcPr>
            <w:tcW w:w="5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6F07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500</w:t>
            </w:r>
          </w:p>
        </w:tc>
      </w:tr>
      <w:tr w14:paraId="7DBF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EE629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Marketing (capped at ~45% of post-cost margin)</w:t>
            </w:r>
          </w:p>
        </w:tc>
        <w:tc>
          <w:tcPr>
            <w:tcW w:w="5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D79E6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~5,850 (at 15 students)</w:t>
            </w:r>
          </w:p>
        </w:tc>
      </w:tr>
      <w:tr w14:paraId="09C68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F3643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Operational partner share (~18% of profit)</w:t>
            </w:r>
          </w:p>
        </w:tc>
        <w:tc>
          <w:tcPr>
            <w:tcW w:w="5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E8609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~1,287</w:t>
            </w:r>
          </w:p>
        </w:tc>
      </w:tr>
      <w:tr w14:paraId="66242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5C2D4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Founder net income (target, at 15 students)</w:t>
            </w:r>
          </w:p>
        </w:tc>
        <w:tc>
          <w:tcPr>
            <w:tcW w:w="50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18390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~5,800 – 6,000</w:t>
            </w:r>
          </w:p>
        </w:tc>
      </w:tr>
    </w:tbl>
    <w:p w14:paraId="37521445">
      <w:pPr>
        <w:spacing w:after="150"/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  <w:t>Unit economics are highly sensitive to enrollment: at ~20 students per Journey, both the marketing budget and founder net income increase meaningfully; below ~12 students, the model risks a net loss once marketing spend is included. Growing enrollment per Journey — not raising price — is the primary lever for improving margins in year one.</w:t>
      </w:r>
    </w:p>
    <w:p w14:paraId="0A56F262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7.3 Team &amp; Compensation</w:t>
      </w:r>
    </w:p>
    <w:p w14:paraId="3DA4DC53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Salma Mohamed Draz — Founder, sole owner. Responsible for product design, facilitation, curriculum, brand, and strategy.</w:t>
      </w:r>
    </w:p>
    <w:p w14:paraId="086BEAB9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Operational partner — handles communications, logistics, and parent/community coordination; compensated via a ~18% profit share (executive/operational role, not an equity co-founder at this stage).</w:t>
      </w:r>
    </w:p>
    <w:p w14:paraId="1D1FED46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No other paid staff at current scale; next likely hires are a second facilitator (to run parallel batches) and light operational support, contingent on post-launch revenue.</w:t>
      </w:r>
    </w:p>
    <w:p w14:paraId="476561DC">
      <w:pPr>
        <w:pStyle w:val="2"/>
        <w:spacing w:before="400" w:after="200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8. Go-to-Market Strategy</w:t>
      </w:r>
    </w:p>
    <w:p w14:paraId="3F4464FC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8.1 Channels</w:t>
      </w:r>
    </w:p>
    <w:p w14:paraId="130084FA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Instagram — primary content channel; authentic footage and testimonials from real Missions (no stock imagery, no AI-generated "student" footage).</w:t>
      </w:r>
    </w:p>
    <w:p w14:paraId="0C700A13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LinkedIn — positioning for investors, competition visibility, and B2B credibility (school partnerships, longer term).</w:t>
      </w:r>
    </w:p>
    <w:p w14:paraId="410FFEFE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Paid social ads — phased spend, capped per Journey, tested in small batches before scaling.</w:t>
      </w:r>
    </w:p>
    <w:p w14:paraId="547C6B35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Word-of-mouth / referral — direct outcome of high satisfaction in free pilots; formalized via a lightweight referral incentive once paid Journeys begin.</w:t>
      </w:r>
    </w:p>
    <w:p w14:paraId="590792DB">
      <w:pPr>
        <w:pStyle w:val="3"/>
        <w:spacing w:before="280" w:after="140"/>
      </w:pPr>
      <w:r>
        <w:rPr>
          <w:rFonts w:ascii="Calibri" w:hAnsi="Calibri" w:eastAsia="Calibri" w:cs="Calibri"/>
          <w:b/>
          <w:bCs/>
          <w:color w:val="43459F"/>
          <w:sz w:val="25"/>
          <w:szCs w:val="25"/>
        </w:rPr>
        <w:t>8.2 Messaging Principle</w:t>
      </w:r>
    </w:p>
    <w:p w14:paraId="5586A784">
      <w:pPr>
        <w:spacing w:after="15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Zola Think is positioned as a complement to — not a substitute for — technical courses (coding academies, etc.). The message to parents: "A coding course gives your child the tool. Zola Think gives them the confidence to know what to do with it." This avoids direct price-competition with established coding academies and instead targets a distinct, currently unmet need: confidence and decision-making.</w:t>
      </w:r>
    </w:p>
    <w:p w14:paraId="5E56FFF5">
      <w:r>
        <w:br w:type="page"/>
      </w:r>
    </w:p>
    <w:p w14:paraId="77910586">
      <w:pPr>
        <w:pStyle w:val="2"/>
        <w:spacing w:before="400" w:after="200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9. Roadmap</w:t>
      </w:r>
    </w:p>
    <w:tbl>
      <w:tblPr>
        <w:tblStyle w:val="9"/>
        <w:tblW w:w="110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6"/>
        <w:gridCol w:w="9930"/>
      </w:tblGrid>
      <w:tr w14:paraId="48A84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21EA5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9930" w:type="dxa"/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AE0F9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14:paraId="5FAB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82AD2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Sep – Oct 2026</w:t>
            </w:r>
          </w:p>
        </w:tc>
        <w:tc>
          <w:tcPr>
            <w:tcW w:w="99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9824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Finalize business definition, messaging, and pricing; competition submissions (TECHVERSE Hackathon, GESAwards); build simple functional website; publish first LinkedIn/Instagram content.</w:t>
            </w:r>
          </w:p>
        </w:tc>
      </w:tr>
      <w:tr w14:paraId="2AB69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8CC01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Nov 2026</w:t>
            </w:r>
          </w:p>
        </w:tc>
        <w:tc>
          <w:tcPr>
            <w:tcW w:w="99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A49D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Legal &amp; financial groundwork: dedicated business bank account, written profit-share agreement with operational partner, initial legal consultation on entity type (leaning One Person Company for liability protection).</w:t>
            </w:r>
          </w:p>
        </w:tc>
      </w:tr>
      <w:tr w14:paraId="321A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4349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Dec 2026</w:t>
            </w:r>
          </w:p>
        </w:tc>
        <w:tc>
          <w:tcPr>
            <w:tcW w:w="99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7FFFF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Pre-launch marketing: anticipation content using real Mission footage; open interest-registration form; phased small-budget paid ad tests.</w:t>
            </w:r>
          </w:p>
        </w:tc>
      </w:tr>
      <w:tr w14:paraId="244A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22A31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Jan – Feb 2027</w:t>
            </w:r>
          </w:p>
        </w:tc>
        <w:tc>
          <w:tcPr>
            <w:tcW w:w="99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C3CA8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Launch first paid Journey (5 Missions + Hackathon), timed to Egypt's mid-year school break, based on direct parent survey preference.</w:t>
            </w:r>
          </w:p>
        </w:tc>
      </w:tr>
      <w:tr w14:paraId="41541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ED5F6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Mar – May 2027</w:t>
            </w:r>
          </w:p>
        </w:tc>
        <w:tc>
          <w:tcPr>
            <w:tcW w:w="99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69860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Evaluate enrollment and completion data; expand Mission library; formalize legal registration once revenue justifies it; pursue growth-stage funding conversations (e.g., EdVentures) with proven unit economics.</w:t>
            </w:r>
          </w:p>
        </w:tc>
      </w:tr>
      <w:tr w14:paraId="197E1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B1A7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Jun – Aug 2027</w:t>
            </w:r>
          </w:p>
        </w:tc>
        <w:tc>
          <w:tcPr>
            <w:tcW w:w="99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3FEAC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Full-scale summer season launch, informed by validated pricing, delivery model, and a larger Mission library.</w:t>
            </w:r>
          </w:p>
        </w:tc>
      </w:tr>
    </w:tbl>
    <w:p w14:paraId="7348FB2A">
      <w:pPr>
        <w:pStyle w:val="2"/>
        <w:spacing w:before="400" w:after="200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10. SWOT Analysis</w:t>
      </w:r>
    </w:p>
    <w:tbl>
      <w:tblPr>
        <w:tblStyle w:val="9"/>
        <w:tblW w:w="110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39"/>
        <w:gridCol w:w="5284"/>
      </w:tblGrid>
      <w:tr w14:paraId="30A66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39" w:type="dxa"/>
            <w:shd w:val="clear" w:color="auto" w:fill="EFE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822F0">
            <w:r>
              <w:rPr>
                <w:rFonts w:ascii="Calibri" w:hAnsi="Calibri" w:eastAsia="Calibri" w:cs="Calibri"/>
                <w:b/>
                <w:bCs/>
                <w:color w:val="182136"/>
                <w:sz w:val="20"/>
                <w:szCs w:val="20"/>
              </w:rPr>
              <w:t>Strengths</w:t>
            </w:r>
          </w:p>
        </w:tc>
        <w:tc>
          <w:tcPr>
            <w:tcW w:w="5284" w:type="dxa"/>
            <w:shd w:val="clear" w:color="auto" w:fill="EFE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E5D5E">
            <w:r>
              <w:rPr>
                <w:rFonts w:ascii="Calibri" w:hAnsi="Calibri" w:eastAsia="Calibri" w:cs="Calibri"/>
                <w:b/>
                <w:bCs/>
                <w:color w:val="182136"/>
                <w:sz w:val="20"/>
                <w:szCs w:val="20"/>
              </w:rPr>
              <w:t>Weaknesses</w:t>
            </w:r>
          </w:p>
        </w:tc>
      </w:tr>
      <w:tr w14:paraId="6CC60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556D9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Rare founder profile: software engineering + real classroom teaching + UI/UX design.</w:t>
            </w:r>
          </w:p>
          <w:p w14:paraId="27A54286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Validated positioning with real cohort data, not assumptions.</w:t>
            </w:r>
          </w:p>
          <w:p w14:paraId="7D582BD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No direct Arabic-market competitor.</w:t>
            </w:r>
          </w:p>
          <w:p w14:paraId="079D88B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Facilitator-led human experience is difficult for larger institutional players to replicate at small scale.</w:t>
            </w:r>
          </w:p>
        </w:tc>
        <w:tc>
          <w:tcPr>
            <w:tcW w:w="52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F5D5D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Solo-founder dependency across delivery, design, and strategy.</w:t>
            </w:r>
          </w:p>
          <w:p w14:paraId="746267D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No legal entity registered yet.</w:t>
            </w:r>
          </w:p>
          <w:p w14:paraId="44DCCD73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Content library covers only 2 of 5 planned Missions per Journey.</w:t>
            </w:r>
          </w:p>
          <w:p w14:paraId="0878BB2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Zero revenue to date — all validation is pre-monetization.</w:t>
            </w:r>
          </w:p>
        </w:tc>
      </w:tr>
      <w:tr w14:paraId="4B4D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39" w:type="dxa"/>
            <w:shd w:val="clear" w:color="auto" w:fill="EFE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1B3BB">
            <w:r>
              <w:rPr>
                <w:rFonts w:ascii="Calibri" w:hAnsi="Calibri" w:eastAsia="Calibri" w:cs="Calibri"/>
                <w:b/>
                <w:bCs/>
                <w:color w:val="182136"/>
                <w:sz w:val="20"/>
                <w:szCs w:val="20"/>
              </w:rPr>
              <w:t>Opportunities</w:t>
            </w:r>
          </w:p>
        </w:tc>
        <w:tc>
          <w:tcPr>
            <w:tcW w:w="5284" w:type="dxa"/>
            <w:shd w:val="clear" w:color="auto" w:fill="EFED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95FCB">
            <w:r>
              <w:rPr>
                <w:rFonts w:ascii="Calibri" w:hAnsi="Calibri" w:eastAsia="Calibri" w:cs="Calibri"/>
                <w:b/>
                <w:bCs/>
                <w:color w:val="182136"/>
                <w:sz w:val="20"/>
                <w:szCs w:val="20"/>
              </w:rPr>
              <w:t>Threats</w:t>
            </w:r>
          </w:p>
        </w:tc>
      </w:tr>
      <w:tr w14:paraId="3C278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D1347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Regional EdTech investment interest (EdVentures, MITEF, GESAwards Female Founders track).</w:t>
            </w:r>
          </w:p>
          <w:p w14:paraId="6BACFBE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School partnerships as a future distribution channel.</w:t>
            </w:r>
          </w:p>
          <w:p w14:paraId="11E71082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Mission library as a growing, reusable, potentially licensable asset.</w:t>
            </w:r>
          </w:p>
          <w:p w14:paraId="5A9E75DB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Bundled Journeys build a compounding, repeat-customer revenue base.</w:t>
            </w:r>
          </w:p>
        </w:tc>
        <w:tc>
          <w:tcPr>
            <w:tcW w:w="52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3CE1C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Messaging confusion risk — some parents still compare Zola Think directly to coding courses.</w:t>
            </w:r>
          </w:p>
          <w:p w14:paraId="2CD0B066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Group-dynamics risk in younger cohorts (11-13) without structured facilitation.</w:t>
            </w:r>
          </w:p>
          <w:p w14:paraId="5A9E2680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Founder time is the hard constraint on scaling delivery.</w:t>
            </w:r>
          </w:p>
          <w:p w14:paraId="1B3988F0">
            <w:pPr>
              <w:pStyle w:val="16"/>
              <w:numPr>
                <w:ilvl w:val="0"/>
                <w:numId w:val="1"/>
              </w:numPr>
              <w:spacing w:after="8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 multi-month gap before paid launch risks cooling current family/student momentum.</w:t>
            </w:r>
          </w:p>
        </w:tc>
      </w:tr>
    </w:tbl>
    <w:p w14:paraId="715F974A">
      <w:pPr>
        <w:rPr>
          <w:rFonts w:ascii="Calibri" w:hAnsi="Calibri" w:eastAsia="Calibri" w:cs="Calibri"/>
          <w:b/>
          <w:bCs/>
          <w:color w:val="182136"/>
          <w:sz w:val="32"/>
          <w:szCs w:val="32"/>
        </w:rPr>
      </w:pPr>
    </w:p>
    <w:p w14:paraId="539193DD">
      <w:pPr>
        <w:rPr>
          <w:rFonts w:ascii="Calibri" w:hAnsi="Calibri" w:eastAsia="Calibri" w:cs="Calibri"/>
          <w:b/>
          <w:bCs/>
          <w:color w:val="182136"/>
          <w:sz w:val="32"/>
          <w:szCs w:val="32"/>
        </w:rPr>
      </w:pPr>
    </w:p>
    <w:p w14:paraId="7956F5D7">
      <w:pPr>
        <w:rPr>
          <w:rFonts w:ascii="Calibri" w:hAnsi="Calibri" w:eastAsia="Calibri" w:cs="Calibri"/>
          <w:b/>
          <w:bCs/>
          <w:color w:val="182136"/>
          <w:sz w:val="32"/>
          <w:szCs w:val="32"/>
        </w:rPr>
      </w:pPr>
    </w:p>
    <w:p w14:paraId="7E2F4E4F">
      <w:pPr>
        <w:rPr>
          <w:rFonts w:ascii="Calibri" w:hAnsi="Calibri" w:eastAsia="Calibri" w:cs="Calibri"/>
          <w:b/>
          <w:bCs/>
          <w:color w:val="182136"/>
          <w:sz w:val="32"/>
          <w:szCs w:val="32"/>
        </w:rPr>
      </w:pPr>
    </w:p>
    <w:p w14:paraId="2F3EFE2E">
      <w:pPr>
        <w:rPr>
          <w:rFonts w:ascii="Calibri" w:hAnsi="Calibri" w:eastAsia="Calibri" w:cs="Calibri"/>
          <w:b/>
          <w:bCs/>
          <w:color w:val="182136"/>
          <w:sz w:val="32"/>
          <w:szCs w:val="32"/>
        </w:rPr>
      </w:pPr>
    </w:p>
    <w:p w14:paraId="17A00113">
      <w:pPr>
        <w:numPr>
          <w:ilvl w:val="0"/>
          <w:numId w:val="2"/>
        </w:numPr>
        <w:rPr>
          <w:rFonts w:ascii="Calibri" w:hAnsi="Calibri" w:eastAsia="Calibri" w:cs="Calibri"/>
          <w:b/>
          <w:bCs/>
          <w:color w:val="182136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Risk Analysis</w:t>
      </w:r>
    </w:p>
    <w:p w14:paraId="6B621838">
      <w:pPr>
        <w:numPr>
          <w:numId w:val="0"/>
        </w:numPr>
        <w:rPr>
          <w:rFonts w:ascii="Calibri" w:hAnsi="Calibri" w:eastAsia="Calibri" w:cs="Calibri"/>
          <w:b/>
          <w:bCs/>
          <w:color w:val="182136"/>
          <w:sz w:val="32"/>
          <w:szCs w:val="32"/>
        </w:rPr>
      </w:pPr>
    </w:p>
    <w:tbl>
      <w:tblPr>
        <w:tblStyle w:val="9"/>
        <w:tblW w:w="111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70"/>
        <w:gridCol w:w="7389"/>
      </w:tblGrid>
      <w:tr w14:paraId="2D413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4" w:hRule="atLeast"/>
        </w:trPr>
        <w:tc>
          <w:tcPr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E4B0C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shd w:val="clear" w:color="auto" w:fill="43459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FEFDE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14:paraId="43DD5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1" w:hRule="atLeast"/>
        </w:trPr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D8EEC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Low enrollment in first paid Journey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AF2A3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Capped, phased marketing spend tied to actual response; referral incentives from validated free-pilot families.</w:t>
            </w:r>
          </w:p>
        </w:tc>
      </w:tr>
      <w:tr w14:paraId="361B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1" w:hRule="atLeast"/>
        </w:trPr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4CDEA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Founder burnout (solo delivery + strategy + admin)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7614B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Delegate logistics to operational partner; cap concurrent batches to a sustainable number.</w:t>
            </w:r>
          </w:p>
        </w:tc>
      </w:tr>
      <w:tr w14:paraId="61E1B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1" w:hRule="atLeast"/>
        </w:trPr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E6CC0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Message unclear to parents comparing to coding courses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CDA30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Standardized "complement, not substitute" messaging; explicit no-technical-background-required framing.</w:t>
            </w:r>
          </w:p>
        </w:tc>
      </w:tr>
      <w:tr w14:paraId="3386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1" w:hRule="atLeast"/>
        </w:trPr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AD9AB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Loss of momentum during the Sep–Dec no-Mission period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B6451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Light-touch monthly updates to past families; content-only marketing using existing footage.</w:t>
            </w:r>
          </w:p>
        </w:tc>
      </w:tr>
      <w:tr w14:paraId="7B86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1" w:hRule="atLeast"/>
        </w:trPr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AFCCC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Operating without a registered legal entity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7D42E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Written partner agreement, dedicated business account, documented receipts; formal registration once revenue justifies cost.</w:t>
            </w:r>
          </w:p>
        </w:tc>
      </w:tr>
      <w:tr w14:paraId="555D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0" w:hRule="atLeast"/>
        </w:trPr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EDE62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Group-dynamics breakdown in mixed/younger cohorts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AB52A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Facilitator-assigned roles and structured collaboration steps rather than open self-organization.</w:t>
            </w:r>
          </w:p>
        </w:tc>
      </w:tr>
    </w:tbl>
    <w:p w14:paraId="3A87EF94">
      <w:pPr>
        <w:pStyle w:val="2"/>
        <w:spacing w:before="400" w:after="200"/>
      </w:pPr>
      <w:r>
        <w:rPr>
          <w:rFonts w:ascii="Calibri" w:hAnsi="Calibri" w:eastAsia="Calibri" w:cs="Calibri"/>
          <w:b/>
          <w:bCs/>
          <w:color w:val="182136"/>
          <w:sz w:val="32"/>
          <w:szCs w:val="32"/>
        </w:rPr>
        <w:t>12. Funding &amp; Competition Strategy</w:t>
      </w:r>
    </w:p>
    <w:p w14:paraId="3695F8E0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Near-term: applying to idea-stage, non-dilutive opportunities matched to actual maturity — TECHVERSE Hackathon (Creativa Mansoura, open-category, free entry) and GESAwards (Female Founders track).</w:t>
      </w:r>
    </w:p>
    <w:p w14:paraId="617E7A80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Medium-term: MITEF Arab Startup Competition (Ideas Track), once messaging and a functional website are finalized.</w:t>
      </w:r>
    </w:p>
    <w:p w14:paraId="084568AE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sz w:val="22"/>
          <w:szCs w:val="22"/>
        </w:rPr>
        <w:t>Long-term: EdTech-focused investors (e.g., EdVentures) once a registered entity, proven paid unit economics, and a complete Mission library exist.</w:t>
      </w:r>
    </w:p>
    <w:p w14:paraId="592312CF">
      <w:pPr>
        <w:spacing w:after="150"/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  <w:t>This document will be revised after the first paid Journey generates real enrollment and cost data.</w:t>
      </w:r>
    </w:p>
    <w:sectPr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00" w:hanging="260"/>
      </w:pPr>
    </w:lvl>
  </w:abstractNum>
  <w:abstractNum w:abstractNumId="1">
    <w:nsid w:val="7CBA6A85"/>
    <w:multiLevelType w:val="singleLevel"/>
    <w:tmpl w:val="7CBA6A85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24F1A2F"/>
    <w:rsid w:val="289F3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704</Words>
  <Characters>3990</Characters>
  <TotalTime>7</TotalTime>
  <ScaleCrop>false</ScaleCrop>
  <LinksUpToDate>false</LinksUpToDate>
  <CharactersWithSpaces>4657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2026-09-09T09:21:00Z</dcterms:created>
  <dc:creator>Un-named</dc:creator>
  <cp:lastModifiedBy>WPS_1636101941</cp:lastModifiedBy>
  <dcterms:modified xsi:type="dcterms:W3CDTF">2026-09-09T09:32:31Z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eyJoZGlkIjoiMzkwNTA4NzMzMjVhYWI1ODI2YWZlZjY1MjNkZGM3ZWIiLCJ1c2VySWQiOiIxNDQ0ODU2NzU0MDk2NCJ9</vt:lpwstr>
  </property>
  <property fmtid="{D5CDD505-2E9C-101B-9397-08002B2CF9AE}" pid="3" name="KSOProductBuildVer">
    <vt:lpwstr>1033-12.1.0.28485</vt:lpwstr>
  </property>
  <property fmtid="{D5CDD505-2E9C-101B-9397-08002B2CF9AE}" pid="4" name="ICV">
    <vt:lpwstr>4C1BBF2E307E4F1680ECA7E819B1575B_12</vt:lpwstr>
  </property>
</Properties>
</file>